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Look w:val="01E0" w:firstRow="1" w:lastRow="1" w:firstColumn="1" w:lastColumn="1" w:noHBand="0" w:noVBand="0"/>
      </w:tblPr>
      <w:tblGrid>
        <w:gridCol w:w="3348"/>
        <w:gridCol w:w="6291"/>
      </w:tblGrid>
      <w:tr w:rsidR="009771FF" w:rsidRPr="00D77A68" w:rsidTr="004E0139">
        <w:trPr>
          <w:trHeight w:val="900"/>
        </w:trPr>
        <w:tc>
          <w:tcPr>
            <w:tcW w:w="3348" w:type="dxa"/>
          </w:tcPr>
          <w:p w:rsidR="009771FF" w:rsidRPr="00D77A68" w:rsidRDefault="009771FF" w:rsidP="004E0139">
            <w:pPr>
              <w:ind w:left="219" w:hanging="219"/>
              <w:jc w:val="center"/>
              <w:rPr>
                <w:b/>
                <w:iCs/>
                <w:color w:val="000000"/>
              </w:rPr>
            </w:pPr>
            <w:r w:rsidRPr="00D77A68">
              <w:rPr>
                <w:b/>
                <w:color w:val="000000"/>
              </w:rPr>
              <w:t>ỦY BAN NHÂN DÂN</w:t>
            </w:r>
          </w:p>
          <w:p w:rsidR="009771FF" w:rsidRPr="00D77A68" w:rsidRDefault="009771FF" w:rsidP="0061347D">
            <w:pPr>
              <w:jc w:val="center"/>
              <w:rPr>
                <w:b/>
                <w:color w:val="000000"/>
              </w:rPr>
            </w:pPr>
            <w:r w:rsidRPr="00D77A68">
              <w:rPr>
                <w:rFonts w:eastAsia="Arial"/>
                <w:b/>
                <w:noProof/>
              </w:rPr>
              <mc:AlternateContent>
                <mc:Choice Requires="wps">
                  <w:drawing>
                    <wp:anchor distT="0" distB="0" distL="114300" distR="114300" simplePos="0" relativeHeight="251659264" behindDoc="0" locked="0" layoutInCell="1" allowOverlap="1" wp14:anchorId="670F758D" wp14:editId="571D9965">
                      <wp:simplePos x="0" y="0"/>
                      <wp:positionH relativeFrom="column">
                        <wp:posOffset>653415</wp:posOffset>
                      </wp:positionH>
                      <wp:positionV relativeFrom="paragraph">
                        <wp:posOffset>242570</wp:posOffset>
                      </wp:positionV>
                      <wp:extent cx="609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137450C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45pt,19.1pt" to="99.4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tKsgEAALYDAAAOAAAAZHJzL2Uyb0RvYy54bWysU02P0zAQvSPxHyzfadI9VBA13UNXcEFQ&#10;sfADvM64sbA91tg06b9n7LZZBAghxMXxx3sz895Mtvezd+IElCyGXq5XrRQQNA42HHv55fPbV6+l&#10;SFmFQTkM0MszJHm/e/liO8UO7nBENwAJDhJSN8VejjnHrmmSHsGrtMIIgR8NkleZj3RsBlITR/eu&#10;uWvbTTMhDZFQQ0p8+3B5lLsa3xjQ+aMxCbJwveTacl2prk9lbXZb1R1JxdHqaxnqH6rwygZOuoR6&#10;UFmJb2R/CeWtJkxo8kqjb9AYq6FqYDXr9ic1j6OKULWwOSkuNqX/F1Z/OB1I2IF7J0VQnlv0mEnZ&#10;45jFHkNgA5HEuvg0xdQxfB8OdD2leKAiejbky5fliLl6e168hTkLzZeb9s2m5Q7o21PzzIuU8jtA&#10;L8qml86Golp16vQ+Zc7F0BuED6WOS+a6y2cHBezCJzCshHOtK7vOEOwdiZPi7g9fqwqOVZGFYqxz&#10;C6n9M+mKLTSoc/W3xAVdM2LIC9HbgPS7rHm+lWou+Jvqi9Yi+wmHc+1DtYOHo7p0HeQyfT+eK/35&#10;d9t9BwAA//8DAFBLAwQUAAYACAAAACEACgq2o9wAAAAJAQAADwAAAGRycy9kb3ducmV2LnhtbEyP&#10;wU7DMBBE70j8g7VI3KhDkKo0xKmqSghxQTSFuxu7TsBeR7aThr9nqx7KcWafZmeq9ewsm3SIvUcB&#10;j4sMmMbWqx6NgM/9y0MBLCaJSlqPWsCvjrCub28qWSp/wp2emmQYhWAspYAupaHkPLaddjIu/KCR&#10;bkcfnEwkg+EqyBOFO8vzLFtyJ3ukD50c9LbT7U8zOgH2LUxfZms2cXzdLZvvj2P+vp+EuL+bN8/A&#10;kp7TFYZzfaoONXU6+BFVZJZ0lq8IFfBU5MDOwKog43AxeF3x/wvqPwAAAP//AwBQSwECLQAUAAYA&#10;CAAAACEAtoM4kv4AAADhAQAAEwAAAAAAAAAAAAAAAAAAAAAAW0NvbnRlbnRfVHlwZXNdLnhtbFBL&#10;AQItABQABgAIAAAAIQA4/SH/1gAAAJQBAAALAAAAAAAAAAAAAAAAAC8BAABfcmVscy8ucmVsc1BL&#10;AQItABQABgAIAAAAIQBFNctKsgEAALYDAAAOAAAAAAAAAAAAAAAAAC4CAABkcnMvZTJvRG9jLnht&#10;bFBLAQItABQABgAIAAAAIQAKCraj3AAAAAkBAAAPAAAAAAAAAAAAAAAAAAwEAABkcnMvZG93bnJl&#10;di54bWxQSwUGAAAAAAQABADzAAAAFQUAAAAA&#10;" strokecolor="black [3200]" strokeweight=".5pt">
                      <v:stroke joinstyle="miter"/>
                    </v:line>
                  </w:pict>
                </mc:Fallback>
              </mc:AlternateContent>
            </w:r>
            <w:r w:rsidRPr="00D77A68">
              <w:rPr>
                <w:b/>
                <w:color w:val="000000"/>
              </w:rPr>
              <w:t xml:space="preserve">  TỈNH </w:t>
            </w:r>
            <w:r w:rsidR="0061347D">
              <w:rPr>
                <w:b/>
                <w:color w:val="000000"/>
              </w:rPr>
              <w:t>LÂM ĐỒNG</w:t>
            </w:r>
          </w:p>
        </w:tc>
        <w:tc>
          <w:tcPr>
            <w:tcW w:w="6291" w:type="dxa"/>
          </w:tcPr>
          <w:p w:rsidR="009771FF" w:rsidRPr="00D77A68" w:rsidRDefault="009771FF" w:rsidP="004E0139">
            <w:pPr>
              <w:tabs>
                <w:tab w:val="left" w:leader="dot" w:pos="9072"/>
              </w:tabs>
              <w:spacing w:after="80" w:line="276" w:lineRule="auto"/>
              <w:jc w:val="center"/>
              <w:rPr>
                <w:rFonts w:eastAsia="Arial"/>
              </w:rPr>
            </w:pPr>
            <w:r w:rsidRPr="00D77A68">
              <w:rPr>
                <w:rFonts w:eastAsia="Arial"/>
                <w:b/>
                <w:noProof/>
              </w:rPr>
              <mc:AlternateContent>
                <mc:Choice Requires="wps">
                  <w:drawing>
                    <wp:anchor distT="0" distB="0" distL="114300" distR="114300" simplePos="0" relativeHeight="251660288" behindDoc="0" locked="0" layoutInCell="1" allowOverlap="1" wp14:anchorId="2592A0E5" wp14:editId="05332592">
                      <wp:simplePos x="0" y="0"/>
                      <wp:positionH relativeFrom="column">
                        <wp:posOffset>872963</wp:posOffset>
                      </wp:positionH>
                      <wp:positionV relativeFrom="paragraph">
                        <wp:posOffset>459105</wp:posOffset>
                      </wp:positionV>
                      <wp:extent cx="21050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940A66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75pt,36.15pt" to="234.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23ftAEAALcDAAAOAAAAZHJzL2Uyb0RvYy54bWysU8uOEzEQvCPxD5bvZB7SIjTKZA9ZwQVB&#10;xMIHeD3tjIXtttomj7+n7SSzCBBCiIvHbVdVd7V71vcn78QBKFkMo+xWrRQQNE427Ef55fPbV2+k&#10;SFmFSTkMMMozJHm/eflifYwD9Dijm4AEi4Q0HOMo55zj0DRJz+BVWmGEwJcGyavMIe2bidSR1b1r&#10;+rZ93RyRpkioISU+fbhcyk3VNwZ0/mhMgizcKLm2XFeq61NZm81aDXtScbb6Wob6hyq8soGTLlIP&#10;KivxjewvUt5qwoQmrzT6Bo2xGqoHdtO1P7l5nFWE6oWbk+LSpvT/ZPWHw46EnUbZSxGU5yd6zKTs&#10;fs5iiyFwA5FEX/p0jGlg+Dbs6BqluKNi+mTIly/bEafa2/PSWzhlofmw79q7tr+TQt/ummdipJTf&#10;AXpRNqN0NhTbalCH9ylzMobeIByUQi6p6y6fHRSwC5/AsBVO1lV2HSLYOhIHxc8/fe2KDdaqyEIx&#10;1rmF1P6ZdMUWGtTB+lvigq4ZMeSF6G1A+l3WfLqVai74m+uL12L7CadzfYjaDp6O6uw6yWX8fowr&#10;/fl/23wHAAD//wMAUEsDBBQABgAIAAAAIQA6Gjon3QAAAAkBAAAPAAAAZHJzL2Rvd25yZXYueG1s&#10;TI/BTsMwEETvSPyDtUjcqEMKKYQ4VVUJIS6IpnB3Y9cJ2OvIdtLw9yziAMeZfZqdqdazs2zSIfYe&#10;BVwvMmAaW696NALe9o9Xd8Bikqik9agFfOkI6/r8rJKl8ifc6alJhlEIxlIK6FIaSs5j22kn48IP&#10;Gul29MHJRDIYroI8UbizPM+ygjvZI33o5KC3nW4/m9EJsM9hejdbs4nj065oPl6P+ct+EuLyYt48&#10;AEt6Tn8w/NSn6lBTp4MfUUVmSS9Xt4QKWOVLYATcFPc07vBr8Lri/xfU3wAAAP//AwBQSwECLQAU&#10;AAYACAAAACEAtoM4kv4AAADhAQAAEwAAAAAAAAAAAAAAAAAAAAAAW0NvbnRlbnRfVHlwZXNdLnht&#10;bFBLAQItABQABgAIAAAAIQA4/SH/1gAAAJQBAAALAAAAAAAAAAAAAAAAAC8BAABfcmVscy8ucmVs&#10;c1BLAQItABQABgAIAAAAIQAFz23ftAEAALcDAAAOAAAAAAAAAAAAAAAAAC4CAABkcnMvZTJvRG9j&#10;LnhtbFBLAQItABQABgAIAAAAIQA6Gjon3QAAAAkBAAAPAAAAAAAAAAAAAAAAAA4EAABkcnMvZG93&#10;bnJldi54bWxQSwUGAAAAAAQABADzAAAAGAUAAAAA&#10;" strokecolor="black [3200]" strokeweight=".5pt">
                      <v:stroke joinstyle="miter"/>
                    </v:line>
                  </w:pict>
                </mc:Fallback>
              </mc:AlternateContent>
            </w:r>
            <w:r w:rsidRPr="00D77A68">
              <w:rPr>
                <w:rFonts w:eastAsia="Arial"/>
                <w:b/>
              </w:rPr>
              <w:t>CỘNG HÒA XÃ HỘI CHỦ NGHĨA VIỆT NAM</w:t>
            </w:r>
            <w:r w:rsidRPr="00D77A68">
              <w:rPr>
                <w:rFonts w:eastAsia="Arial"/>
                <w:b/>
              </w:rPr>
              <w:br/>
              <w:t xml:space="preserve">Độc lập - Tự do - Hạnh phúc </w:t>
            </w:r>
          </w:p>
        </w:tc>
      </w:tr>
      <w:tr w:rsidR="009771FF" w:rsidRPr="00D77A68" w:rsidTr="004E0139">
        <w:trPr>
          <w:trHeight w:val="207"/>
        </w:trPr>
        <w:tc>
          <w:tcPr>
            <w:tcW w:w="3348" w:type="dxa"/>
          </w:tcPr>
          <w:p w:rsidR="009771FF" w:rsidRPr="00D77A68" w:rsidRDefault="005D33F2" w:rsidP="00646474">
            <w:pPr>
              <w:tabs>
                <w:tab w:val="left" w:leader="dot" w:pos="9072"/>
              </w:tabs>
              <w:spacing w:before="80" w:after="80" w:line="276" w:lineRule="auto"/>
              <w:jc w:val="center"/>
              <w:rPr>
                <w:rFonts w:eastAsia="Arial"/>
                <w:b/>
              </w:rPr>
            </w:pPr>
            <w:r w:rsidRPr="00487819">
              <w:rPr>
                <w:rFonts w:eastAsia="SimSun"/>
                <w:noProof/>
                <w:sz w:val="24"/>
                <w:szCs w:val="24"/>
              </w:rPr>
              <mc:AlternateContent>
                <mc:Choice Requires="wps">
                  <w:drawing>
                    <wp:anchor distT="0" distB="0" distL="114300" distR="114300" simplePos="0" relativeHeight="251663360" behindDoc="0" locked="0" layoutInCell="1" allowOverlap="1" wp14:anchorId="531379EE" wp14:editId="2D39813E">
                      <wp:simplePos x="0" y="0"/>
                      <wp:positionH relativeFrom="column">
                        <wp:posOffset>344434</wp:posOffset>
                      </wp:positionH>
                      <wp:positionV relativeFrom="paragraph">
                        <wp:posOffset>274320</wp:posOffset>
                      </wp:positionV>
                      <wp:extent cx="1158240" cy="304165"/>
                      <wp:effectExtent l="0" t="0" r="22860" b="19685"/>
                      <wp:wrapNone/>
                      <wp:docPr id="7" name="Rectangle 7"/>
                      <wp:cNvGraphicFramePr/>
                      <a:graphic xmlns:a="http://schemas.openxmlformats.org/drawingml/2006/main">
                        <a:graphicData uri="http://schemas.microsoft.com/office/word/2010/wordprocessingShape">
                          <wps:wsp>
                            <wps:cNvSpPr/>
                            <wps:spPr>
                              <a:xfrm>
                                <a:off x="0" y="0"/>
                                <a:ext cx="1158240" cy="304165"/>
                              </a:xfrm>
                              <a:prstGeom prst="rect">
                                <a:avLst/>
                              </a:prstGeom>
                              <a:solidFill>
                                <a:sysClr val="window" lastClr="FFFFFF"/>
                              </a:solidFill>
                              <a:ln w="12700" cap="flat" cmpd="sng" algn="ctr">
                                <a:solidFill>
                                  <a:srgbClr val="4472C4"/>
                                </a:solidFill>
                                <a:prstDash val="solid"/>
                                <a:miter lim="800000"/>
                              </a:ln>
                              <a:effectLst/>
                            </wps:spPr>
                            <wps:txbx>
                              <w:txbxContent>
                                <w:p w:rsidR="00487819" w:rsidRPr="00EA2462" w:rsidRDefault="00487819" w:rsidP="00487819">
                                  <w:pPr>
                                    <w:rPr>
                                      <w:b/>
                                    </w:rPr>
                                  </w:pPr>
                                  <w:r>
                                    <w:t xml:space="preserve">  </w:t>
                                  </w:r>
                                  <w:r w:rsidRPr="00EA2462">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31379EE" id="Rectangle 7" o:spid="_x0000_s1026" style="position:absolute;left:0;text-align:left;margin-left:27.1pt;margin-top:21.6pt;width:91.2pt;height:2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V5qggIAAAwFAAAOAAAAZHJzL2Uyb0RvYy54bWysVEtv2zAMvg/YfxB0X21nbtMFdYogRYYB&#10;RVu0HXpmZNkWoNckJXb260fJbvpYT8NyUEiR4uPjR19cDkqSPXdeGF3R4iSnhGtmaqHbiv583Hw5&#10;p8QH0DVIo3lFD9zTy+XnTxe9XfCZ6YysuSMYRPtFbyvahWAXWeZZxxX4E2O5RmNjnIKAqmuz2kGP&#10;0ZXMZnl+lvXG1dYZxr3H26vRSJcpftNwFm6bxvNAZEWxtpBOl85tPLPlBSxaB7YTbCoD/qEKBUJj&#10;0mOoKwhAdk78FUoJ5ow3TThhRmWmaQTjqQfspsjfdfPQgeWpFwTH2yNM/v+FZTf7O0dEXdE5JRoU&#10;jugeQQPdSk7mEZ7e+gV6Pdg7N2kexdjr0DgV/7ELMiRID0dI+RAIw8uiOD2flYg8Q9vXvCzOTmPQ&#10;7OW1dT5850aRKFTUYfaEJOyvfRhdn11iMm+kqDdCyqQc/Fo6sgecLpKiNj0lEnzAy4pu0m/K9uaZ&#10;1KTH0mbzPBYGSLtGQkBRWQTC65YSkC3ymQWXannz2rt2e8xalvPZuvwoSSz6Cnw3VpciRDdYKBGQ&#10;8lKoip7n8Te9ljpaeSLt1HrEfkQ7SmHYDtMItqY+4NycGQntLdsIzHeNvd+BQwZjY7iV4RaPRhrs&#10;1kwSJZ1xvz+6j/5ILLRS0uNGIBK/duA4QvpDI+W+FWUcZEhKeTqfoeJeW7avLXqn1gbHUuD+W5bE&#10;6B/ks9g4o55weVcxK5pAM8w9Yj4p6zBuKq4/46tVcsO1sRCu9YNlMXiELCL9ODyBsxOHArLvxjxv&#10;DyzeUWn0jS+1We2CaUTiWYR4xBX5GRVcucTU6fMQd/q1nrxePmLLPwAAAP//AwBQSwMEFAAGAAgA&#10;AAAhAGukFVPfAAAACAEAAA8AAABkcnMvZG93bnJldi54bWxMj8FOwzAQRO9I/IO1SNyok7RENGRT&#10;IQSXigsFWnHbxiaJGq8j203C32NOcBqtZjTzttzMphejdr6zjJAuEhCaa6s6bhDe355v7kD4QKyo&#10;t6wRvrWHTXV5UVKh7MSvetyFRsQS9gUhtCEMhZS+brUhv7CD5uh9WWcoxNM1UjmaYrnpZZYkuTTU&#10;cVxoadCPra5Pu7NBcFR/bLcv8nMa/Slr9od8/ZQQ4vXV/HAPIug5/IXhFz+iQxWZjvbMyose4XaV&#10;xSTCahk1+tkyz0EcEdZpCrIq5f8Hqh8AAAD//wMAUEsBAi0AFAAGAAgAAAAhALaDOJL+AAAA4QEA&#10;ABMAAAAAAAAAAAAAAAAAAAAAAFtDb250ZW50X1R5cGVzXS54bWxQSwECLQAUAAYACAAAACEAOP0h&#10;/9YAAACUAQAACwAAAAAAAAAAAAAAAAAvAQAAX3JlbHMvLnJlbHNQSwECLQAUAAYACAAAACEA0Ele&#10;aoICAAAMBQAADgAAAAAAAAAAAAAAAAAuAgAAZHJzL2Uyb0RvYy54bWxQSwECLQAUAAYACAAAACEA&#10;a6QVU98AAAAIAQAADwAAAAAAAAAAAAAAAADcBAAAZHJzL2Rvd25yZXYueG1sUEsFBgAAAAAEAAQA&#10;8wAAAOgFAAAAAA==&#10;" fillcolor="window" strokecolor="#4472c4" strokeweight="1pt">
                      <v:textbox>
                        <w:txbxContent>
                          <w:p w:rsidR="00487819" w:rsidRPr="00EA2462" w:rsidRDefault="00487819" w:rsidP="00487819">
                            <w:pPr>
                              <w:rPr>
                                <w:b/>
                              </w:rPr>
                            </w:pPr>
                            <w:r>
                              <w:t xml:space="preserve">  </w:t>
                            </w:r>
                            <w:r w:rsidRPr="00EA2462">
                              <w:rPr>
                                <w:b/>
                              </w:rPr>
                              <w:t>DỰ THẢO</w:t>
                            </w:r>
                          </w:p>
                        </w:txbxContent>
                      </v:textbox>
                    </v:rect>
                  </w:pict>
                </mc:Fallback>
              </mc:AlternateContent>
            </w:r>
            <w:r w:rsidR="009771FF" w:rsidRPr="00D77A68">
              <w:rPr>
                <w:rFonts w:eastAsia="Arial"/>
              </w:rPr>
              <w:t xml:space="preserve">Số: </w:t>
            </w:r>
            <w:r w:rsidR="00646474">
              <w:rPr>
                <w:rFonts w:eastAsia="Arial"/>
              </w:rPr>
              <w:t xml:space="preserve">         </w:t>
            </w:r>
            <w:r w:rsidR="009771FF" w:rsidRPr="00D77A68">
              <w:rPr>
                <w:rFonts w:eastAsia="Arial"/>
              </w:rPr>
              <w:t xml:space="preserve">/QĐ-UBND        </w:t>
            </w:r>
          </w:p>
        </w:tc>
        <w:tc>
          <w:tcPr>
            <w:tcW w:w="6291" w:type="dxa"/>
          </w:tcPr>
          <w:p w:rsidR="009771FF" w:rsidRPr="00D77A68" w:rsidRDefault="009771FF" w:rsidP="004E0139">
            <w:pPr>
              <w:tabs>
                <w:tab w:val="left" w:leader="dot" w:pos="9072"/>
              </w:tabs>
              <w:spacing w:before="80" w:after="80" w:line="276" w:lineRule="auto"/>
              <w:jc w:val="right"/>
              <w:rPr>
                <w:rFonts w:eastAsia="Arial"/>
                <w:b/>
              </w:rPr>
            </w:pPr>
          </w:p>
        </w:tc>
      </w:tr>
    </w:tbl>
    <w:p w:rsidR="009771FF" w:rsidRPr="00D77A68" w:rsidRDefault="009771FF" w:rsidP="00487819">
      <w:pPr>
        <w:tabs>
          <w:tab w:val="left" w:leader="dot" w:pos="9072"/>
        </w:tabs>
        <w:spacing w:before="80" w:after="80" w:line="276" w:lineRule="auto"/>
        <w:rPr>
          <w:b/>
          <w:sz w:val="24"/>
          <w:szCs w:val="24"/>
        </w:rPr>
      </w:pPr>
    </w:p>
    <w:p w:rsidR="009771FF" w:rsidRPr="00D77A68" w:rsidRDefault="009771FF" w:rsidP="009771FF">
      <w:pPr>
        <w:tabs>
          <w:tab w:val="left" w:leader="dot" w:pos="9072"/>
        </w:tabs>
        <w:spacing w:before="120" w:after="120"/>
        <w:jc w:val="center"/>
        <w:rPr>
          <w:b/>
        </w:rPr>
      </w:pPr>
      <w:r w:rsidRPr="00D77A68">
        <w:rPr>
          <w:b/>
        </w:rPr>
        <w:t>QUYẾT ĐỊNH CHẤP THUẬN CHỦ TRƯƠNG ĐẦU TƯ ĐỒNG THỜI CHẤP THUẬN NHÀ ĐẦU TƯ</w:t>
      </w:r>
    </w:p>
    <w:p w:rsidR="009771FF" w:rsidRPr="00D77A68" w:rsidRDefault="009771FF" w:rsidP="009771FF">
      <w:pPr>
        <w:tabs>
          <w:tab w:val="left" w:leader="dot" w:pos="9072"/>
        </w:tabs>
        <w:spacing w:before="120" w:after="120"/>
        <w:jc w:val="center"/>
      </w:pPr>
      <w:r w:rsidRPr="00D77A68">
        <w:rPr>
          <w:b/>
          <w:noProof/>
        </w:rPr>
        <mc:AlternateContent>
          <mc:Choice Requires="wps">
            <w:drawing>
              <wp:anchor distT="0" distB="0" distL="114300" distR="114300" simplePos="0" relativeHeight="251661312" behindDoc="0" locked="0" layoutInCell="1" allowOverlap="1" wp14:anchorId="2F320654" wp14:editId="2D29A2DA">
                <wp:simplePos x="0" y="0"/>
                <wp:positionH relativeFrom="column">
                  <wp:posOffset>2138680</wp:posOffset>
                </wp:positionH>
                <wp:positionV relativeFrom="paragraph">
                  <wp:posOffset>263525</wp:posOffset>
                </wp:positionV>
                <wp:extent cx="14382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497EE6A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8.4pt,20.75pt" to="281.6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uVuAEAAMMDAAAOAAAAZHJzL2Uyb0RvYy54bWysU8uOEzEQvCPxD5bvZPLgsRplsoes4IIg&#10;YpcP8HraGUu222qbTPL3tJ1kFgESYrUXj9vuqu4q96xvj96JA1CyGDq5mM2lgKCxt2Hfye8PH9/c&#10;SJGyCr1yGKCTJ0jydvP61XqMLSxxQNcDCSYJqR1jJ4ecY9s0SQ/gVZphhMCXBsmrzCHtm57UyOze&#10;Ncv5/H0zIvWRUENKfHp3vpSbym8M6PzVmARZuE5yb7muVNfHsjabtWr3pOJg9aUN9YwuvLKBi05U&#10;dyor8YPsH1TeasKEJs80+gaNsRqqBlazmP+m5n5QEaoWNifFyab0crT6y2FHwvadXEkRlOcnus+k&#10;7H7IYoshsIFIYlV8GmNqOX0bdnSJUtxREX005MuX5Yhj9fY0eQvHLDQfLt6ubpYf3kmhr3fNEzBS&#10;yp8AvSibTjobimzVqsPnlLkYp15TOCiNnEvXXT45KMkufAPDUkqxiq5DBFtH4qD4+ZXWEPKiSGG+&#10;ml1gxjo3Aef/Bl7yCxTqgP0PeELUyhjyBPY2IP2tej5eWzbn/KsDZ93FgkfsT/VRqjU8KVXhZarL&#10;KP4aV/jTv7f5CQAA//8DAFBLAwQUAAYACAAAACEAzfFkheAAAAAJAQAADwAAAGRycy9kb3ducmV2&#10;LnhtbEyPQUvDQBCF74L/YRnBm920sUFiJqUUxFqQYhXqcZsdk2h2Nuxum/Tfu+JBj/Pm8d73isVo&#10;OnEi51vLCNNJAoK4srrlGuHt9eHmDoQPirXqLBPCmTwsysuLQuXaDvxCp12oRQxhnyuEJoQ+l9JX&#10;DRnlJ7Ynjr8P64wK8XS11E4NMdx0cpYkmTSq5djQqJ5WDVVfu6NBeHbr9Wq5OX/y9t0M+9lmv30a&#10;HxGvr8blPYhAY/gzww9+RIcyMh3skbUXHUKaZhE9INxO5yCiYZ6lKYjDryDLQv5fUH4DAAD//wMA&#10;UEsBAi0AFAAGAAgAAAAhALaDOJL+AAAA4QEAABMAAAAAAAAAAAAAAAAAAAAAAFtDb250ZW50X1R5&#10;cGVzXS54bWxQSwECLQAUAAYACAAAACEAOP0h/9YAAACUAQAACwAAAAAAAAAAAAAAAAAvAQAAX3Jl&#10;bHMvLnJlbHNQSwECLQAUAAYACAAAACEAM717lbgBAADDAwAADgAAAAAAAAAAAAAAAAAuAgAAZHJz&#10;L2Uyb0RvYy54bWxQSwECLQAUAAYACAAAACEAzfFkheAAAAAJAQAADwAAAAAAAAAAAAAAAAASBAAA&#10;ZHJzL2Rvd25yZXYueG1sUEsFBgAAAAAEAAQA8wAAAB8FAAAAAA==&#10;" strokecolor="#5b9bd5 [3204]" strokeweight=".5pt">
                <v:stroke joinstyle="miter"/>
              </v:line>
            </w:pict>
          </mc:Fallback>
        </mc:AlternateContent>
      </w:r>
      <w:r w:rsidRPr="00D77A68">
        <w:t xml:space="preserve">(Cấp lần đầu: </w:t>
      </w:r>
      <w:r w:rsidR="008D48EA" w:rsidRPr="00D77A68">
        <w:t xml:space="preserve">Ngày    </w:t>
      </w:r>
      <w:r w:rsidRPr="00D77A68">
        <w:t>tháng    năm</w:t>
      </w:r>
      <w:r w:rsidR="00485048">
        <w:t xml:space="preserve"> 2026</w:t>
      </w:r>
      <w:r w:rsidRPr="00D77A68">
        <w:t>)</w:t>
      </w:r>
    </w:p>
    <w:p w:rsidR="009771FF" w:rsidRPr="00D77A68" w:rsidRDefault="009771FF" w:rsidP="009771FF">
      <w:pPr>
        <w:tabs>
          <w:tab w:val="left" w:leader="dot" w:pos="9072"/>
        </w:tabs>
        <w:spacing w:before="120" w:after="120"/>
        <w:jc w:val="center"/>
        <w:rPr>
          <w:b/>
        </w:rPr>
      </w:pPr>
    </w:p>
    <w:p w:rsidR="009771FF" w:rsidRPr="00D77A68" w:rsidRDefault="00646474" w:rsidP="009771FF">
      <w:pPr>
        <w:tabs>
          <w:tab w:val="left" w:leader="dot" w:pos="9072"/>
        </w:tabs>
        <w:spacing w:before="120" w:after="120"/>
        <w:jc w:val="center"/>
        <w:rPr>
          <w:b/>
        </w:rPr>
      </w:pPr>
      <w:r>
        <w:rPr>
          <w:b/>
        </w:rPr>
        <w:t xml:space="preserve">CHỦ TỊCH </w:t>
      </w:r>
      <w:r w:rsidR="009771FF" w:rsidRPr="00D77A68">
        <w:rPr>
          <w:b/>
        </w:rPr>
        <w:t xml:space="preserve">ỦY BAN NHÂN DÂN TỈNH </w:t>
      </w:r>
      <w:r w:rsidR="001E5548">
        <w:rPr>
          <w:b/>
        </w:rPr>
        <w:t>LÂM ĐỒNG</w:t>
      </w:r>
    </w:p>
    <w:p w:rsidR="009771FF" w:rsidRPr="00D77A68" w:rsidRDefault="009771FF" w:rsidP="009771FF">
      <w:pPr>
        <w:tabs>
          <w:tab w:val="left" w:leader="dot" w:pos="9072"/>
        </w:tabs>
        <w:spacing w:before="120" w:after="120"/>
        <w:jc w:val="center"/>
        <w:rPr>
          <w:b/>
        </w:rPr>
      </w:pPr>
    </w:p>
    <w:p w:rsidR="00397A4A" w:rsidRDefault="00397A4A" w:rsidP="00FE3CD0">
      <w:pPr>
        <w:widowControl w:val="0"/>
        <w:spacing w:before="120" w:after="120"/>
        <w:ind w:firstLine="709"/>
        <w:jc w:val="both"/>
        <w:rPr>
          <w:i/>
          <w:color w:val="000000"/>
          <w:lang w:val="sv-SE"/>
        </w:rPr>
      </w:pPr>
      <w:r w:rsidRPr="00397A4A">
        <w:rPr>
          <w:i/>
          <w:color w:val="000000"/>
          <w:lang w:val="sv-SE"/>
        </w:rPr>
        <w:t>Căn cứ Luật Tổ chức chính quyền địa phương ngày 16 tháng 6 năm 2025;</w:t>
      </w:r>
    </w:p>
    <w:p w:rsidR="001C020A" w:rsidRPr="001C020A" w:rsidRDefault="00485048" w:rsidP="00FE3CD0">
      <w:pPr>
        <w:widowControl w:val="0"/>
        <w:spacing w:before="120" w:after="120"/>
        <w:ind w:firstLine="709"/>
        <w:jc w:val="both"/>
        <w:rPr>
          <w:i/>
          <w:color w:val="000000"/>
          <w:lang w:val="sv-SE"/>
        </w:rPr>
      </w:pPr>
      <w:r>
        <w:rPr>
          <w:i/>
          <w:color w:val="000000"/>
          <w:lang w:val="sv-SE"/>
        </w:rPr>
        <w:t xml:space="preserve">Căn cứ Luật Đầu tư </w:t>
      </w:r>
      <w:r w:rsidRPr="001C020A">
        <w:rPr>
          <w:i/>
          <w:color w:val="000000"/>
          <w:lang w:val="sv-SE"/>
        </w:rPr>
        <w:t>ngày 1</w:t>
      </w:r>
      <w:r w:rsidR="006D694B">
        <w:rPr>
          <w:i/>
          <w:color w:val="000000"/>
          <w:lang w:val="sv-SE"/>
        </w:rPr>
        <w:t>1 tháng 12 năm 2025;</w:t>
      </w:r>
    </w:p>
    <w:p w:rsidR="00081838" w:rsidRPr="0093342C" w:rsidRDefault="00081838" w:rsidP="00FE3CD0">
      <w:pPr>
        <w:widowControl w:val="0"/>
        <w:spacing w:before="120" w:after="120"/>
        <w:ind w:firstLine="709"/>
        <w:jc w:val="both"/>
        <w:rPr>
          <w:i/>
          <w:color w:val="000000"/>
          <w:lang w:val="sv-SE"/>
        </w:rPr>
      </w:pPr>
      <w:r w:rsidRPr="001C020A">
        <w:rPr>
          <w:i/>
          <w:color w:val="000000"/>
          <w:lang w:val="sv-SE"/>
        </w:rPr>
        <w:t xml:space="preserve">Căn cứ </w:t>
      </w:r>
      <w:r w:rsidRPr="00E561F0">
        <w:rPr>
          <w:i/>
          <w:color w:val="000000"/>
          <w:lang w:val="sv-SE"/>
        </w:rPr>
        <w:t>N</w:t>
      </w:r>
      <w:r>
        <w:rPr>
          <w:i/>
          <w:color w:val="000000"/>
          <w:lang w:val="sv-SE"/>
        </w:rPr>
        <w:t xml:space="preserve">ghị định số 96/2026/NĐ-CP ngày 31 tháng 3 năm </w:t>
      </w:r>
      <w:r w:rsidRPr="00E561F0">
        <w:rPr>
          <w:i/>
          <w:color w:val="000000"/>
          <w:lang w:val="sv-SE"/>
        </w:rPr>
        <w:t>2026 của Chính phủ quy định chi tiết và hướng dẫn thi hành một số điều của Luật Đầu tư</w:t>
      </w:r>
      <w:r>
        <w:rPr>
          <w:i/>
          <w:color w:val="000000"/>
          <w:lang w:val="sv-SE"/>
        </w:rPr>
        <w:t>;</w:t>
      </w:r>
    </w:p>
    <w:p w:rsidR="00646474" w:rsidRDefault="00081838" w:rsidP="00FE3CD0">
      <w:pPr>
        <w:widowControl w:val="0"/>
        <w:spacing w:before="120" w:after="120"/>
        <w:ind w:firstLine="709"/>
        <w:jc w:val="both"/>
        <w:rPr>
          <w:rFonts w:ascii="Times New Roman Italic" w:hAnsi="Times New Roman Italic"/>
          <w:i/>
          <w:color w:val="000000"/>
          <w:spacing w:val="-2"/>
          <w:lang w:val="sv-SE"/>
        </w:rPr>
      </w:pPr>
      <w:r w:rsidRPr="006E0E30">
        <w:rPr>
          <w:rFonts w:ascii="Times New Roman Italic" w:hAnsi="Times New Roman Italic"/>
          <w:i/>
          <w:color w:val="000000"/>
          <w:spacing w:val="-2"/>
          <w:lang w:val="sv-SE"/>
        </w:rPr>
        <w:t xml:space="preserve">Căn cứ Thông tư số </w:t>
      </w:r>
      <w:r w:rsidR="00646474">
        <w:rPr>
          <w:rFonts w:ascii="Times New Roman Italic" w:hAnsi="Times New Roman Italic"/>
          <w:i/>
          <w:color w:val="000000"/>
          <w:spacing w:val="-2"/>
          <w:lang w:val="sv-SE"/>
        </w:rPr>
        <w:t>55</w:t>
      </w:r>
      <w:r w:rsidRPr="006E0E30">
        <w:rPr>
          <w:rFonts w:ascii="Times New Roman Italic" w:hAnsi="Times New Roman Italic"/>
          <w:i/>
          <w:color w:val="000000"/>
          <w:spacing w:val="-2"/>
          <w:lang w:val="sv-SE"/>
        </w:rPr>
        <w:t>/</w:t>
      </w:r>
      <w:r w:rsidR="00646474">
        <w:rPr>
          <w:rFonts w:ascii="Times New Roman Italic" w:hAnsi="Times New Roman Italic"/>
          <w:i/>
          <w:color w:val="000000"/>
          <w:spacing w:val="-2"/>
          <w:lang w:val="sv-SE"/>
        </w:rPr>
        <w:t>2026</w:t>
      </w:r>
      <w:r w:rsidRPr="006E0E30">
        <w:rPr>
          <w:rFonts w:ascii="Times New Roman Italic" w:hAnsi="Times New Roman Italic"/>
          <w:i/>
          <w:color w:val="000000"/>
          <w:spacing w:val="-2"/>
          <w:lang w:val="sv-SE"/>
        </w:rPr>
        <w:t>/TT-B</w:t>
      </w:r>
      <w:r w:rsidR="00646474">
        <w:rPr>
          <w:rFonts w:ascii="Times New Roman Italic" w:hAnsi="Times New Roman Italic"/>
          <w:i/>
          <w:color w:val="000000"/>
          <w:spacing w:val="-2"/>
          <w:lang w:val="sv-SE"/>
        </w:rPr>
        <w:t>TC ngày 15 tháng 5 năm 2026 của Bộ trưởng Bộ Tài chính quy định mẫu văn bản, báo cáo liên quan đến hoạt động đầu tư tại Việt Nam và xúc tiến đầu tư;</w:t>
      </w:r>
    </w:p>
    <w:p w:rsidR="009771FF" w:rsidRPr="00E20E93" w:rsidRDefault="009771FF" w:rsidP="00FE3CD0">
      <w:pPr>
        <w:widowControl w:val="0"/>
        <w:spacing w:before="120" w:after="120"/>
        <w:ind w:firstLine="709"/>
        <w:jc w:val="both"/>
        <w:rPr>
          <w:i/>
          <w:lang w:val="vi-VN"/>
        </w:rPr>
      </w:pPr>
      <w:r w:rsidRPr="00E20E93">
        <w:rPr>
          <w:i/>
          <w:lang w:val="sv-SE"/>
        </w:rPr>
        <w:t xml:space="preserve">Căn cứ </w:t>
      </w:r>
      <w:r w:rsidR="00E4260A" w:rsidRPr="00E4260A">
        <w:rPr>
          <w:i/>
          <w:lang w:val="sv-SE"/>
        </w:rPr>
        <w:t>Văn bản</w:t>
      </w:r>
      <w:r w:rsidR="007D2F9D">
        <w:rPr>
          <w:i/>
          <w:lang w:val="sv-SE"/>
        </w:rPr>
        <w:t xml:space="preserve"> đề nghị thực hiện dự án đầu tư và</w:t>
      </w:r>
      <w:r w:rsidR="00E4260A" w:rsidRPr="00E4260A">
        <w:rPr>
          <w:i/>
          <w:lang w:val="sv-SE"/>
        </w:rPr>
        <w:t xml:space="preserve"> hồ sơ kèm theo của </w:t>
      </w:r>
      <w:r w:rsidR="00F83515" w:rsidRPr="00F83515">
        <w:rPr>
          <w:i/>
          <w:lang w:val="sv-SE"/>
        </w:rPr>
        <w:t xml:space="preserve">do </w:t>
      </w:r>
      <w:r w:rsidR="00976011" w:rsidRPr="00976011">
        <w:rPr>
          <w:i/>
          <w:lang w:val="sv-SE"/>
        </w:rPr>
        <w:t>Công ty Cổ phần Điện mặt trời Ea Pô 1</w:t>
      </w:r>
      <w:r w:rsidR="00976011">
        <w:rPr>
          <w:i/>
          <w:lang w:val="sv-SE"/>
        </w:rPr>
        <w:t xml:space="preserve"> nộp ngày 12 tháng 3</w:t>
      </w:r>
      <w:r w:rsidR="00081838">
        <w:rPr>
          <w:i/>
          <w:lang w:val="sv-SE"/>
        </w:rPr>
        <w:t xml:space="preserve"> năm </w:t>
      </w:r>
      <w:r w:rsidR="00976011">
        <w:rPr>
          <w:i/>
          <w:lang w:val="sv-SE"/>
        </w:rPr>
        <w:t>2026</w:t>
      </w:r>
      <w:r w:rsidR="00C42918">
        <w:rPr>
          <w:i/>
          <w:lang w:val="sv-SE"/>
        </w:rPr>
        <w:t xml:space="preserve"> </w:t>
      </w:r>
      <w:r w:rsidR="00C42918" w:rsidRPr="00C42918">
        <w:rPr>
          <w:i/>
          <w:lang w:val="sv-SE"/>
        </w:rPr>
        <w:t>và bổ sung, giải trình hồ sơ tại Công văn số 09/2026/C</w:t>
      </w:r>
      <w:r w:rsidR="004F6DAA">
        <w:rPr>
          <w:i/>
          <w:lang w:val="sv-SE"/>
        </w:rPr>
        <w:t>V-EP1 ngày 07/4/2026,</w:t>
      </w:r>
      <w:r w:rsidR="00C42918" w:rsidRPr="00C42918">
        <w:rPr>
          <w:i/>
          <w:lang w:val="sv-SE"/>
        </w:rPr>
        <w:t xml:space="preserve"> Công văn số 11/2026/CV-EP1 ngày 11/5/2026, Văn bản </w:t>
      </w:r>
      <w:r w:rsidR="00646474">
        <w:rPr>
          <w:i/>
          <w:lang w:val="sv-SE"/>
        </w:rPr>
        <w:t xml:space="preserve">đề nghị thực hiện dự án </w:t>
      </w:r>
      <w:r w:rsidR="00C42918" w:rsidRPr="00C42918">
        <w:rPr>
          <w:i/>
          <w:lang w:val="sv-SE"/>
        </w:rPr>
        <w:t>điều chỉnh ngày 15</w:t>
      </w:r>
      <w:r w:rsidR="00646474">
        <w:rPr>
          <w:i/>
          <w:lang w:val="sv-SE"/>
        </w:rPr>
        <w:t xml:space="preserve"> tháng 5 năm </w:t>
      </w:r>
      <w:r w:rsidR="00C42918" w:rsidRPr="00C42918">
        <w:rPr>
          <w:i/>
          <w:lang w:val="sv-SE"/>
        </w:rPr>
        <w:t>2026.</w:t>
      </w:r>
    </w:p>
    <w:p w:rsidR="009771FF" w:rsidRPr="00E20E93" w:rsidRDefault="00081838" w:rsidP="00FE3CD0">
      <w:pPr>
        <w:widowControl w:val="0"/>
        <w:spacing w:before="120" w:after="120"/>
        <w:ind w:firstLine="709"/>
        <w:jc w:val="both"/>
        <w:rPr>
          <w:i/>
        </w:rPr>
      </w:pPr>
      <w:r>
        <w:rPr>
          <w:i/>
        </w:rPr>
        <w:t>Xét</w:t>
      </w:r>
      <w:r w:rsidR="009771FF" w:rsidRPr="00E20E93">
        <w:rPr>
          <w:i/>
        </w:rPr>
        <w:t xml:space="preserve"> Báo cáo thẩm định </w:t>
      </w:r>
      <w:r w:rsidR="00646474">
        <w:rPr>
          <w:i/>
        </w:rPr>
        <w:t>số 414</w:t>
      </w:r>
      <w:r w:rsidR="00C74746" w:rsidRPr="00E20E93">
        <w:rPr>
          <w:i/>
        </w:rPr>
        <w:t>/BC</w:t>
      </w:r>
      <w:r w:rsidR="00E20E93" w:rsidRPr="00E20E93">
        <w:rPr>
          <w:i/>
        </w:rPr>
        <w:t>-STC</w:t>
      </w:r>
      <w:r w:rsidR="00C74746" w:rsidRPr="00E20E93">
        <w:rPr>
          <w:i/>
        </w:rPr>
        <w:t xml:space="preserve"> ngày </w:t>
      </w:r>
      <w:r w:rsidR="00646474">
        <w:rPr>
          <w:i/>
        </w:rPr>
        <w:t>20</w:t>
      </w:r>
      <w:r w:rsidR="00C74746" w:rsidRPr="00E20E93">
        <w:rPr>
          <w:i/>
        </w:rPr>
        <w:t xml:space="preserve"> tháng</w:t>
      </w:r>
      <w:r w:rsidR="00646474">
        <w:rPr>
          <w:i/>
        </w:rPr>
        <w:t xml:space="preserve"> 5 </w:t>
      </w:r>
      <w:r w:rsidR="0025024A" w:rsidRPr="00E20E93">
        <w:rPr>
          <w:i/>
        </w:rPr>
        <w:t>năm 202</w:t>
      </w:r>
      <w:r w:rsidR="00485048">
        <w:rPr>
          <w:i/>
        </w:rPr>
        <w:t>6</w:t>
      </w:r>
      <w:r w:rsidR="00C74746" w:rsidRPr="00E20E93">
        <w:rPr>
          <w:i/>
        </w:rPr>
        <w:t xml:space="preserve"> </w:t>
      </w:r>
      <w:r w:rsidR="009771FF" w:rsidRPr="00E20E93">
        <w:rPr>
          <w:i/>
        </w:rPr>
        <w:t xml:space="preserve">của </w:t>
      </w:r>
      <w:r>
        <w:rPr>
          <w:i/>
        </w:rPr>
        <w:t xml:space="preserve">Giám đốc </w:t>
      </w:r>
      <w:r w:rsidR="009771FF" w:rsidRPr="00E20E93">
        <w:rPr>
          <w:i/>
        </w:rPr>
        <w:t xml:space="preserve">Sở </w:t>
      </w:r>
      <w:r w:rsidR="00E20E93" w:rsidRPr="00E20E93">
        <w:rPr>
          <w:i/>
        </w:rPr>
        <w:t>Tài chính</w:t>
      </w:r>
      <w:r w:rsidR="009771FF" w:rsidRPr="00E20E93">
        <w:rPr>
          <w:i/>
        </w:rPr>
        <w:t>.</w:t>
      </w:r>
    </w:p>
    <w:p w:rsidR="009771FF" w:rsidRPr="00E20E93" w:rsidRDefault="009771FF" w:rsidP="00FE3CD0">
      <w:pPr>
        <w:widowControl w:val="0"/>
        <w:spacing w:before="120" w:after="120"/>
        <w:ind w:firstLine="720"/>
        <w:jc w:val="both"/>
        <w:rPr>
          <w:i/>
          <w:color w:val="FF0000"/>
        </w:rPr>
      </w:pPr>
    </w:p>
    <w:p w:rsidR="00D31B4B" w:rsidRPr="00E20E93" w:rsidRDefault="00D31B4B" w:rsidP="00FE3CD0">
      <w:pPr>
        <w:widowControl w:val="0"/>
        <w:spacing w:before="120" w:after="120"/>
        <w:jc w:val="center"/>
        <w:rPr>
          <w:b/>
        </w:rPr>
      </w:pPr>
      <w:r>
        <w:rPr>
          <w:b/>
        </w:rPr>
        <w:t>QUYẾT ĐỊNH</w:t>
      </w:r>
      <w:r w:rsidRPr="00E20E93">
        <w:rPr>
          <w:b/>
        </w:rPr>
        <w:t>:</w:t>
      </w:r>
    </w:p>
    <w:p w:rsidR="009771FF" w:rsidRPr="00E20E93" w:rsidRDefault="009771FF" w:rsidP="00FE3CD0">
      <w:pPr>
        <w:widowControl w:val="0"/>
        <w:spacing w:before="120" w:after="120"/>
        <w:ind w:firstLine="720"/>
        <w:jc w:val="center"/>
        <w:rPr>
          <w:b/>
        </w:rPr>
      </w:pPr>
    </w:p>
    <w:p w:rsidR="009771FF" w:rsidRPr="00B42C72" w:rsidRDefault="009771FF" w:rsidP="00FE3CD0">
      <w:pPr>
        <w:widowControl w:val="0"/>
        <w:spacing w:before="120" w:after="120"/>
        <w:ind w:firstLine="567"/>
        <w:jc w:val="both"/>
        <w:rPr>
          <w:bCs/>
          <w:lang w:val="sv-SE"/>
        </w:rPr>
      </w:pPr>
      <w:r w:rsidRPr="00B42C72">
        <w:rPr>
          <w:b/>
          <w:bCs/>
          <w:lang w:val="sv-SE"/>
        </w:rPr>
        <w:t xml:space="preserve">Điều 1. </w:t>
      </w:r>
      <w:r w:rsidRPr="00B42C72">
        <w:rPr>
          <w:bCs/>
          <w:lang w:val="sv-SE"/>
        </w:rPr>
        <w:t>Chấp thuận chủ trương đầu tư đồng thời chấp thuận nhà đầu tư với nội dung như sau:</w:t>
      </w:r>
    </w:p>
    <w:p w:rsidR="00976011" w:rsidRPr="00B42C72" w:rsidRDefault="0025024A" w:rsidP="00523632">
      <w:pPr>
        <w:pStyle w:val="BodyTextIndent"/>
        <w:widowControl w:val="0"/>
        <w:spacing w:before="120"/>
        <w:ind w:firstLine="284"/>
        <w:rPr>
          <w:noProof/>
        </w:rPr>
      </w:pPr>
      <w:r w:rsidRPr="00B42C72">
        <w:rPr>
          <w:b/>
          <w:bCs/>
          <w:lang w:val="sv-SE"/>
        </w:rPr>
        <w:t>1. Nhà đầu tư</w:t>
      </w:r>
      <w:r w:rsidRPr="00B42C72">
        <w:t xml:space="preserve">: </w:t>
      </w:r>
      <w:r w:rsidR="00976011" w:rsidRPr="00B42C72">
        <w:rPr>
          <w:noProof/>
        </w:rPr>
        <w:t>Công ty Cổ phần Điện mặt trời Ea Pô 1.</w:t>
      </w:r>
    </w:p>
    <w:p w:rsidR="00976011" w:rsidRPr="00B42C72" w:rsidRDefault="00976011" w:rsidP="00FE3CD0">
      <w:pPr>
        <w:widowControl w:val="0"/>
        <w:spacing w:before="120" w:after="120"/>
        <w:ind w:firstLine="567"/>
        <w:jc w:val="both"/>
        <w:rPr>
          <w:noProof/>
        </w:rPr>
      </w:pPr>
      <w:r w:rsidRPr="00B42C72">
        <w:rPr>
          <w:noProof/>
        </w:rPr>
        <w:t>Giấy chứng nhận đăng ký doanh nghiệp số 0319409703 do Phòng đăng ký kinh doanh, Sở Tài chính Thành phố Hồ Chí Minh cấp lầ</w:t>
      </w:r>
      <w:r w:rsidR="00523632" w:rsidRPr="00B42C72">
        <w:rPr>
          <w:noProof/>
        </w:rPr>
        <w:t xml:space="preserve">n đầu ngày 11 tháng 02 năm 2026; </w:t>
      </w:r>
      <w:r w:rsidRPr="00B42C72">
        <w:rPr>
          <w:noProof/>
        </w:rPr>
        <w:t>Mã số thuế: 0319409703</w:t>
      </w:r>
      <w:r w:rsidR="004F6DAA" w:rsidRPr="00B42C72">
        <w:rPr>
          <w:noProof/>
        </w:rPr>
        <w:t>.</w:t>
      </w:r>
    </w:p>
    <w:p w:rsidR="00976011" w:rsidRPr="00B42C72" w:rsidRDefault="00976011" w:rsidP="00FE3CD0">
      <w:pPr>
        <w:keepNext/>
        <w:widowControl w:val="0"/>
        <w:tabs>
          <w:tab w:val="center" w:pos="6480"/>
        </w:tabs>
        <w:spacing w:before="120" w:after="120"/>
        <w:ind w:firstLine="567"/>
        <w:jc w:val="both"/>
        <w:outlineLvl w:val="0"/>
        <w:rPr>
          <w:noProof/>
        </w:rPr>
      </w:pPr>
      <w:r w:rsidRPr="00B42C72">
        <w:rPr>
          <w:noProof/>
        </w:rPr>
        <w:t xml:space="preserve">Địa chỉ: Căn hộ Văn phòng số 07, tầng 09, Tháp R1, tòa nhà EverRich, </w:t>
      </w:r>
      <w:r w:rsidR="00B42C72">
        <w:rPr>
          <w:noProof/>
        </w:rPr>
        <w:t>s</w:t>
      </w:r>
      <w:r w:rsidRPr="00B42C72">
        <w:rPr>
          <w:noProof/>
        </w:rPr>
        <w:t xml:space="preserve">ố 968 </w:t>
      </w:r>
      <w:r w:rsidR="00B42C72" w:rsidRPr="00B42C72">
        <w:rPr>
          <w:noProof/>
        </w:rPr>
        <w:t xml:space="preserve">đường </w:t>
      </w:r>
      <w:r w:rsidRPr="00B42C72">
        <w:rPr>
          <w:noProof/>
        </w:rPr>
        <w:t xml:space="preserve">3/2, </w:t>
      </w:r>
      <w:r w:rsidR="00B42C72" w:rsidRPr="00B42C72">
        <w:rPr>
          <w:noProof/>
        </w:rPr>
        <w:t xml:space="preserve">phường </w:t>
      </w:r>
      <w:r w:rsidRPr="00B42C72">
        <w:rPr>
          <w:noProof/>
        </w:rPr>
        <w:t>Phú Thọ, Thành phố Hồ Chí Minh</w:t>
      </w:r>
      <w:r w:rsidR="00B42C72">
        <w:rPr>
          <w:noProof/>
        </w:rPr>
        <w:t>.</w:t>
      </w:r>
    </w:p>
    <w:p w:rsidR="00F83515" w:rsidRPr="00B42C72" w:rsidRDefault="00F83515" w:rsidP="00FE3CD0">
      <w:pPr>
        <w:widowControl w:val="0"/>
        <w:spacing w:before="120" w:after="120"/>
        <w:ind w:firstLine="567"/>
        <w:jc w:val="both"/>
        <w:rPr>
          <w:rFonts w:eastAsia="SimSun"/>
          <w:b/>
          <w:lang w:val="vi-VN"/>
        </w:rPr>
      </w:pPr>
      <w:r w:rsidRPr="00B42C72">
        <w:rPr>
          <w:rFonts w:eastAsia="SimSun"/>
          <w:b/>
          <w:lang w:val="vi-VN"/>
        </w:rPr>
        <w:t>2. Thông tin dự án đầu tư</w:t>
      </w:r>
    </w:p>
    <w:p w:rsidR="00976011" w:rsidRPr="00B42C72" w:rsidRDefault="00976011" w:rsidP="00FE3CD0">
      <w:pPr>
        <w:widowControl w:val="0"/>
        <w:tabs>
          <w:tab w:val="left" w:pos="1106"/>
          <w:tab w:val="left" w:leader="dot" w:pos="5830"/>
          <w:tab w:val="left" w:leader="dot" w:pos="6064"/>
          <w:tab w:val="left" w:leader="dot" w:pos="8962"/>
        </w:tabs>
        <w:spacing w:before="120" w:after="120"/>
        <w:ind w:firstLine="567"/>
        <w:jc w:val="both"/>
      </w:pPr>
      <w:r w:rsidRPr="00B42C72">
        <w:rPr>
          <w:b/>
        </w:rPr>
        <w:t>2.1. Tên dự án</w:t>
      </w:r>
      <w:r w:rsidRPr="00B42C72">
        <w:t xml:space="preserve">: </w:t>
      </w:r>
      <w:bookmarkStart w:id="0" w:name="bookmark39"/>
      <w:bookmarkEnd w:id="0"/>
      <w:r w:rsidRPr="00B42C72">
        <w:t>Nhà máy Điện mặt trời Ea Pô 1.</w:t>
      </w:r>
    </w:p>
    <w:p w:rsidR="00976011" w:rsidRPr="00B42C72" w:rsidRDefault="00976011" w:rsidP="00FE3CD0">
      <w:pPr>
        <w:widowControl w:val="0"/>
        <w:spacing w:before="120" w:after="120"/>
        <w:ind w:firstLine="567"/>
        <w:jc w:val="both"/>
        <w:rPr>
          <w:spacing w:val="-4"/>
        </w:rPr>
      </w:pPr>
      <w:r w:rsidRPr="00B42C72">
        <w:rPr>
          <w:b/>
          <w:spacing w:val="-4"/>
        </w:rPr>
        <w:lastRenderedPageBreak/>
        <w:t>2.2. Địa điểm thực hiện dự án:</w:t>
      </w:r>
      <w:r w:rsidRPr="00B42C72">
        <w:rPr>
          <w:spacing w:val="-4"/>
        </w:rPr>
        <w:t xml:space="preserve"> Thôn Cồn Dầu, xã Đắk Wil, tỉnh Lâm Đồng.</w:t>
      </w:r>
    </w:p>
    <w:p w:rsidR="00976011" w:rsidRPr="00B42C72" w:rsidRDefault="00B42C72" w:rsidP="00FE3CD0">
      <w:pPr>
        <w:widowControl w:val="0"/>
        <w:tabs>
          <w:tab w:val="left" w:pos="1106"/>
          <w:tab w:val="left" w:leader="dot" w:pos="5830"/>
          <w:tab w:val="left" w:leader="dot" w:pos="6064"/>
          <w:tab w:val="left" w:leader="dot" w:pos="8962"/>
        </w:tabs>
        <w:spacing w:before="120" w:after="120"/>
        <w:ind w:firstLine="567"/>
        <w:jc w:val="both"/>
        <w:rPr>
          <w:b/>
          <w:bCs/>
        </w:rPr>
      </w:pPr>
      <w:r>
        <w:rPr>
          <w:b/>
          <w:bCs/>
        </w:rPr>
        <w:t>2.3. Mục tiêu dự án</w:t>
      </w:r>
    </w:p>
    <w:p w:rsidR="00976011" w:rsidRPr="005364DD" w:rsidRDefault="00976011" w:rsidP="00FE3CD0">
      <w:pPr>
        <w:widowControl w:val="0"/>
        <w:tabs>
          <w:tab w:val="left" w:leader="dot" w:pos="9072"/>
        </w:tabs>
        <w:spacing w:before="120" w:after="120"/>
        <w:ind w:firstLine="567"/>
        <w:jc w:val="both"/>
        <w:outlineLvl w:val="0"/>
        <w:rPr>
          <w:rFonts w:eastAsia="Aptos"/>
          <w:b/>
          <w:bCs/>
        </w:rPr>
      </w:pPr>
      <w:bookmarkStart w:id="1" w:name="bookmark42"/>
      <w:bookmarkEnd w:id="1"/>
      <w:r w:rsidRPr="005364DD">
        <w:rPr>
          <w:rFonts w:eastAsia="Aptos"/>
          <w:b/>
          <w:bCs/>
        </w:rPr>
        <w:t>a) Mục tiêu đầu tư</w:t>
      </w:r>
    </w:p>
    <w:p w:rsidR="00976011" w:rsidRPr="00976011" w:rsidRDefault="00976011" w:rsidP="00FE3CD0">
      <w:pPr>
        <w:widowControl w:val="0"/>
        <w:tabs>
          <w:tab w:val="left" w:leader="dot" w:pos="9072"/>
        </w:tabs>
        <w:spacing w:before="120" w:after="120"/>
        <w:ind w:firstLine="567"/>
        <w:jc w:val="both"/>
        <w:rPr>
          <w:rFonts w:eastAsia="Aptos"/>
          <w:lang w:val="pt-BR"/>
        </w:rPr>
      </w:pPr>
      <w:r w:rsidRPr="00976011">
        <w:rPr>
          <w:rFonts w:eastAsia="Aptos"/>
          <w:lang w:val="pt-BR"/>
        </w:rPr>
        <w:t>Nhà máy Điện mặt trời Ea Pô 1 được xây dựng với mục tiêu bổ sung nguồn năng lượng sạch vào hệ thống điện quốc gia, đáp ứng nhu cầu cung cấp điện cho hệ thống điện nói chung và tỉnh Lâm Đồng nói riêng</w:t>
      </w:r>
      <w:r w:rsidR="00B42C72">
        <w:rPr>
          <w:rFonts w:eastAsia="Aptos"/>
          <w:lang w:val="pt-BR"/>
        </w:rPr>
        <w:t>.</w:t>
      </w:r>
    </w:p>
    <w:p w:rsidR="00976011" w:rsidRPr="00976011" w:rsidRDefault="00976011" w:rsidP="00FE3CD0">
      <w:pPr>
        <w:widowControl w:val="0"/>
        <w:tabs>
          <w:tab w:val="left" w:leader="dot" w:pos="9072"/>
        </w:tabs>
        <w:spacing w:before="120" w:after="120"/>
        <w:ind w:firstLine="567"/>
        <w:jc w:val="both"/>
        <w:rPr>
          <w:rFonts w:eastAsia="Aptos"/>
          <w:lang w:val="pt-BR"/>
        </w:rPr>
      </w:pPr>
      <w:r w:rsidRPr="00976011">
        <w:rPr>
          <w:rFonts w:eastAsia="Aptos"/>
          <w:lang w:val="pt-BR"/>
        </w:rPr>
        <w:t xml:space="preserve">Dự án còn có mục tiêu góp phần phát triển nguồn năng lượng sạch từ mặt trời tại tỉnh Lâm Đồng. Phù hợp với Quy hoạch </w:t>
      </w:r>
      <w:r w:rsidR="00B42C72" w:rsidRPr="00976011">
        <w:rPr>
          <w:rFonts w:eastAsia="Aptos"/>
          <w:lang w:val="pt-BR"/>
        </w:rPr>
        <w:t xml:space="preserve">điện </w:t>
      </w:r>
      <w:r w:rsidRPr="00976011">
        <w:rPr>
          <w:rFonts w:eastAsia="Aptos"/>
          <w:lang w:val="pt-BR"/>
        </w:rPr>
        <w:t xml:space="preserve">VIII điều chỉnh, Kế hoạch thực hiện Quy hoạch </w:t>
      </w:r>
      <w:r w:rsidR="00B42C72" w:rsidRPr="00976011">
        <w:rPr>
          <w:rFonts w:eastAsia="Aptos"/>
          <w:lang w:val="pt-BR"/>
        </w:rPr>
        <w:t xml:space="preserve">điện </w:t>
      </w:r>
      <w:r w:rsidRPr="00976011">
        <w:rPr>
          <w:rFonts w:eastAsia="Aptos"/>
          <w:lang w:val="pt-BR"/>
        </w:rPr>
        <w:t>VIII điều chỉnh, hướng tới mục tiêu NET ZERO vào năm 2050 của Chính phủ.</w:t>
      </w:r>
    </w:p>
    <w:p w:rsidR="00976011" w:rsidRPr="005364DD" w:rsidRDefault="00976011" w:rsidP="00FE3CD0">
      <w:pPr>
        <w:widowControl w:val="0"/>
        <w:tabs>
          <w:tab w:val="left" w:leader="dot" w:pos="9072"/>
        </w:tabs>
        <w:spacing w:before="120" w:after="120"/>
        <w:ind w:firstLine="567"/>
        <w:jc w:val="both"/>
        <w:outlineLvl w:val="0"/>
        <w:rPr>
          <w:rFonts w:eastAsia="Aptos"/>
          <w:b/>
          <w:bCs/>
        </w:rPr>
      </w:pPr>
      <w:r w:rsidRPr="005364DD">
        <w:rPr>
          <w:rFonts w:eastAsia="Aptos"/>
          <w:b/>
          <w:bCs/>
        </w:rPr>
        <w:t>b) Mục tiêu hoạt động của dự án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2703"/>
        <w:gridCol w:w="2584"/>
        <w:gridCol w:w="3255"/>
      </w:tblGrid>
      <w:tr w:rsidR="00976011" w:rsidRPr="00976011" w:rsidTr="000F781C">
        <w:trPr>
          <w:jc w:val="center"/>
        </w:trPr>
        <w:tc>
          <w:tcPr>
            <w:tcW w:w="402" w:type="pct"/>
            <w:vAlign w:val="center"/>
          </w:tcPr>
          <w:p w:rsidR="00976011" w:rsidRPr="00976011" w:rsidRDefault="00976011" w:rsidP="00FE3CD0">
            <w:pPr>
              <w:widowControl w:val="0"/>
              <w:tabs>
                <w:tab w:val="left" w:leader="dot" w:pos="9072"/>
              </w:tabs>
              <w:spacing w:before="120" w:after="120"/>
              <w:jc w:val="center"/>
              <w:rPr>
                <w:rFonts w:eastAsia="Aptos"/>
                <w:b/>
              </w:rPr>
            </w:pPr>
            <w:r w:rsidRPr="00976011">
              <w:rPr>
                <w:rFonts w:eastAsia="Aptos"/>
                <w:b/>
              </w:rPr>
              <w:t>STT</w:t>
            </w:r>
          </w:p>
        </w:tc>
        <w:tc>
          <w:tcPr>
            <w:tcW w:w="1455" w:type="pct"/>
            <w:vAlign w:val="center"/>
          </w:tcPr>
          <w:p w:rsidR="00976011" w:rsidRPr="00976011" w:rsidRDefault="00976011" w:rsidP="00FE3CD0">
            <w:pPr>
              <w:widowControl w:val="0"/>
              <w:tabs>
                <w:tab w:val="left" w:leader="dot" w:pos="9072"/>
              </w:tabs>
              <w:spacing w:before="120" w:after="120"/>
              <w:jc w:val="center"/>
              <w:rPr>
                <w:rFonts w:eastAsia="Aptos"/>
                <w:b/>
                <w:lang w:val="vi-VN"/>
              </w:rPr>
            </w:pPr>
          </w:p>
          <w:p w:rsidR="00976011" w:rsidRPr="00976011" w:rsidRDefault="00976011" w:rsidP="00FE3CD0">
            <w:pPr>
              <w:widowControl w:val="0"/>
              <w:tabs>
                <w:tab w:val="left" w:leader="dot" w:pos="9072"/>
              </w:tabs>
              <w:spacing w:before="120" w:after="120"/>
              <w:jc w:val="center"/>
              <w:rPr>
                <w:rFonts w:eastAsia="Aptos"/>
                <w:b/>
              </w:rPr>
            </w:pPr>
            <w:r w:rsidRPr="00976011">
              <w:rPr>
                <w:rFonts w:eastAsia="Aptos"/>
                <w:b/>
                <w:lang w:val="vi-VN"/>
              </w:rPr>
              <w:t>Mục tiêu hoạt động</w:t>
            </w:r>
          </w:p>
          <w:p w:rsidR="00976011" w:rsidRPr="00976011" w:rsidRDefault="00976011" w:rsidP="00FE3CD0">
            <w:pPr>
              <w:widowControl w:val="0"/>
              <w:tabs>
                <w:tab w:val="left" w:leader="dot" w:pos="9072"/>
              </w:tabs>
              <w:spacing w:before="120" w:after="120"/>
              <w:ind w:firstLine="567"/>
              <w:jc w:val="center"/>
              <w:rPr>
                <w:rFonts w:eastAsia="Aptos"/>
                <w:i/>
              </w:rPr>
            </w:pPr>
          </w:p>
        </w:tc>
        <w:tc>
          <w:tcPr>
            <w:tcW w:w="1391" w:type="pct"/>
            <w:vAlign w:val="center"/>
          </w:tcPr>
          <w:p w:rsidR="00976011" w:rsidRPr="00976011" w:rsidRDefault="00976011" w:rsidP="00FE3CD0">
            <w:pPr>
              <w:widowControl w:val="0"/>
              <w:tabs>
                <w:tab w:val="left" w:leader="dot" w:pos="9072"/>
              </w:tabs>
              <w:spacing w:before="120" w:after="120"/>
              <w:jc w:val="center"/>
              <w:rPr>
                <w:rFonts w:eastAsia="Aptos"/>
                <w:b/>
              </w:rPr>
            </w:pPr>
            <w:r w:rsidRPr="00976011">
              <w:rPr>
                <w:rFonts w:eastAsia="Aptos"/>
                <w:b/>
              </w:rPr>
              <w:t>Mã ngành theo VSIC</w:t>
            </w:r>
          </w:p>
          <w:p w:rsidR="00976011" w:rsidRPr="00976011" w:rsidRDefault="00976011" w:rsidP="00FE3CD0">
            <w:pPr>
              <w:widowControl w:val="0"/>
              <w:tabs>
                <w:tab w:val="left" w:leader="dot" w:pos="9072"/>
              </w:tabs>
              <w:spacing w:before="120" w:after="120"/>
              <w:jc w:val="center"/>
              <w:rPr>
                <w:rFonts w:eastAsia="Aptos"/>
                <w:b/>
              </w:rPr>
            </w:pPr>
            <w:r w:rsidRPr="00976011">
              <w:rPr>
                <w:rFonts w:eastAsia="Aptos"/>
                <w:i/>
              </w:rPr>
              <w:t>(Mã ngành cấp 4)</w:t>
            </w:r>
          </w:p>
        </w:tc>
        <w:tc>
          <w:tcPr>
            <w:tcW w:w="1752" w:type="pct"/>
            <w:vAlign w:val="center"/>
          </w:tcPr>
          <w:p w:rsidR="00976011" w:rsidRPr="00976011" w:rsidRDefault="00976011" w:rsidP="00FE3CD0">
            <w:pPr>
              <w:widowControl w:val="0"/>
              <w:tabs>
                <w:tab w:val="left" w:leader="dot" w:pos="9072"/>
              </w:tabs>
              <w:spacing w:before="120" w:after="120"/>
              <w:jc w:val="center"/>
              <w:rPr>
                <w:rFonts w:eastAsia="Aptos"/>
                <w:b/>
              </w:rPr>
            </w:pPr>
            <w:r w:rsidRPr="00976011">
              <w:rPr>
                <w:rFonts w:eastAsia="Aptos"/>
                <w:b/>
              </w:rPr>
              <w:t>Mã ngành CPC</w:t>
            </w:r>
          </w:p>
          <w:p w:rsidR="00976011" w:rsidRPr="00976011" w:rsidRDefault="00976011" w:rsidP="00FE3CD0">
            <w:pPr>
              <w:widowControl w:val="0"/>
              <w:tabs>
                <w:tab w:val="left" w:leader="dot" w:pos="9072"/>
              </w:tabs>
              <w:spacing w:before="120" w:after="120"/>
              <w:jc w:val="center"/>
              <w:rPr>
                <w:rFonts w:eastAsia="Aptos"/>
                <w:i/>
                <w:lang w:val="vi-VN"/>
              </w:rPr>
            </w:pPr>
            <w:r w:rsidRPr="00976011">
              <w:rPr>
                <w:rFonts w:eastAsia="Aptos"/>
                <w:i/>
              </w:rPr>
              <w:t xml:space="preserve">(đối với ngành nghề có mã CPC, </w:t>
            </w:r>
            <w:r w:rsidRPr="00976011">
              <w:rPr>
                <w:rFonts w:eastAsia="Aptos"/>
                <w:i/>
                <w:lang w:val="vi-VN"/>
              </w:rPr>
              <w:t>nếu có)</w:t>
            </w:r>
          </w:p>
        </w:tc>
      </w:tr>
      <w:tr w:rsidR="00976011" w:rsidRPr="00976011" w:rsidTr="000F781C">
        <w:trPr>
          <w:jc w:val="center"/>
        </w:trPr>
        <w:tc>
          <w:tcPr>
            <w:tcW w:w="402" w:type="pct"/>
          </w:tcPr>
          <w:p w:rsidR="00976011" w:rsidRPr="00976011" w:rsidRDefault="00976011" w:rsidP="00FE3CD0">
            <w:pPr>
              <w:widowControl w:val="0"/>
              <w:tabs>
                <w:tab w:val="left" w:leader="dot" w:pos="9072"/>
              </w:tabs>
              <w:spacing w:before="120" w:after="120"/>
              <w:jc w:val="center"/>
              <w:rPr>
                <w:rFonts w:eastAsia="Aptos"/>
              </w:rPr>
            </w:pPr>
            <w:r w:rsidRPr="00976011">
              <w:rPr>
                <w:rFonts w:eastAsia="Aptos"/>
              </w:rPr>
              <w:t>1</w:t>
            </w:r>
          </w:p>
        </w:tc>
        <w:tc>
          <w:tcPr>
            <w:tcW w:w="1455" w:type="pct"/>
          </w:tcPr>
          <w:p w:rsidR="00976011" w:rsidRPr="00976011" w:rsidRDefault="00976011" w:rsidP="00FE3CD0">
            <w:pPr>
              <w:widowControl w:val="0"/>
              <w:tabs>
                <w:tab w:val="left" w:leader="dot" w:pos="9072"/>
              </w:tabs>
              <w:spacing w:before="120" w:after="120"/>
              <w:jc w:val="center"/>
              <w:rPr>
                <w:rFonts w:eastAsia="Aptos"/>
                <w:i/>
              </w:rPr>
            </w:pPr>
            <w:r w:rsidRPr="00976011">
              <w:rPr>
                <w:rFonts w:eastAsia="Aptos"/>
                <w:i/>
              </w:rPr>
              <w:t>Sản xuất điện</w:t>
            </w:r>
            <w:r w:rsidR="00FE3CD0">
              <w:rPr>
                <w:rFonts w:eastAsia="Aptos"/>
                <w:i/>
              </w:rPr>
              <w:t xml:space="preserve"> từ nguồn năng lượng tái tạo</w:t>
            </w:r>
          </w:p>
        </w:tc>
        <w:tc>
          <w:tcPr>
            <w:tcW w:w="1391" w:type="pct"/>
          </w:tcPr>
          <w:p w:rsidR="00FE3CD0" w:rsidRDefault="00FE3CD0" w:rsidP="00FE3CD0">
            <w:pPr>
              <w:widowControl w:val="0"/>
              <w:tabs>
                <w:tab w:val="left" w:leader="dot" w:pos="9072"/>
              </w:tabs>
              <w:spacing w:before="120" w:after="120"/>
              <w:jc w:val="center"/>
              <w:rPr>
                <w:rFonts w:eastAsia="Aptos"/>
              </w:rPr>
            </w:pPr>
          </w:p>
          <w:p w:rsidR="00976011" w:rsidRPr="00976011" w:rsidRDefault="00976011" w:rsidP="00FE3CD0">
            <w:pPr>
              <w:widowControl w:val="0"/>
              <w:tabs>
                <w:tab w:val="left" w:leader="dot" w:pos="9072"/>
              </w:tabs>
              <w:spacing w:before="120" w:after="120"/>
              <w:jc w:val="center"/>
              <w:rPr>
                <w:rFonts w:eastAsia="Aptos"/>
              </w:rPr>
            </w:pPr>
            <w:r>
              <w:rPr>
                <w:rFonts w:eastAsia="Aptos"/>
              </w:rPr>
              <w:t>3512</w:t>
            </w:r>
          </w:p>
        </w:tc>
        <w:tc>
          <w:tcPr>
            <w:tcW w:w="1752" w:type="pct"/>
          </w:tcPr>
          <w:p w:rsidR="00976011" w:rsidRPr="00976011" w:rsidRDefault="00976011" w:rsidP="00FE3CD0">
            <w:pPr>
              <w:widowControl w:val="0"/>
              <w:tabs>
                <w:tab w:val="left" w:leader="dot" w:pos="9072"/>
              </w:tabs>
              <w:spacing w:before="120" w:after="120"/>
              <w:ind w:firstLine="567"/>
              <w:jc w:val="center"/>
              <w:rPr>
                <w:rFonts w:eastAsia="Aptos"/>
              </w:rPr>
            </w:pPr>
          </w:p>
        </w:tc>
      </w:tr>
    </w:tbl>
    <w:p w:rsidR="00976011" w:rsidRPr="00976011" w:rsidRDefault="00976011" w:rsidP="00FE3CD0">
      <w:pPr>
        <w:keepNext/>
        <w:keepLines/>
        <w:widowControl w:val="0"/>
        <w:spacing w:before="120" w:after="120"/>
        <w:ind w:firstLine="567"/>
        <w:jc w:val="both"/>
        <w:outlineLvl w:val="2"/>
        <w:rPr>
          <w:b/>
          <w:color w:val="000000"/>
        </w:rPr>
      </w:pPr>
      <w:r w:rsidRPr="00976011">
        <w:rPr>
          <w:b/>
          <w:color w:val="000000"/>
        </w:rPr>
        <w:t>2.4. Quy mô dự án:</w:t>
      </w:r>
    </w:p>
    <w:p w:rsidR="00976011" w:rsidRPr="00976011" w:rsidRDefault="00976011" w:rsidP="00FE3CD0">
      <w:pPr>
        <w:widowControl w:val="0"/>
        <w:tabs>
          <w:tab w:val="left" w:leader="dot" w:pos="9072"/>
        </w:tabs>
        <w:spacing w:before="120" w:after="120"/>
        <w:ind w:firstLine="567"/>
        <w:jc w:val="both"/>
        <w:outlineLvl w:val="0"/>
        <w:rPr>
          <w:rFonts w:eastAsia="Aptos"/>
          <w:bCs/>
        </w:rPr>
      </w:pPr>
      <w:bookmarkStart w:id="2" w:name="bookmark43"/>
      <w:bookmarkStart w:id="3" w:name="bookmark47"/>
      <w:bookmarkStart w:id="4" w:name="bookmark56"/>
      <w:bookmarkStart w:id="5" w:name="bookmark57"/>
      <w:bookmarkEnd w:id="2"/>
      <w:bookmarkEnd w:id="3"/>
      <w:bookmarkEnd w:id="4"/>
      <w:bookmarkEnd w:id="5"/>
      <w:r w:rsidRPr="00976011">
        <w:rPr>
          <w:rFonts w:eastAsia="Aptos"/>
          <w:bCs/>
        </w:rPr>
        <w:t>- Quy mô dự án đề xuất diện tích đất: Khoảng 40ha.</w:t>
      </w:r>
    </w:p>
    <w:p w:rsidR="00976011" w:rsidRPr="00976011" w:rsidRDefault="00976011" w:rsidP="00FE3CD0">
      <w:pPr>
        <w:widowControl w:val="0"/>
        <w:tabs>
          <w:tab w:val="left" w:leader="dot" w:pos="9072"/>
        </w:tabs>
        <w:spacing w:before="120" w:after="120"/>
        <w:ind w:firstLine="567"/>
        <w:jc w:val="both"/>
        <w:rPr>
          <w:rFonts w:eastAsia="Aptos"/>
          <w:lang w:val="pt-BR"/>
        </w:rPr>
      </w:pPr>
      <w:r w:rsidRPr="00976011">
        <w:rPr>
          <w:rFonts w:eastAsia="Aptos"/>
          <w:lang w:val="pt-BR"/>
        </w:rPr>
        <w:t>- Công suất thiết kế: 40MW.</w:t>
      </w:r>
    </w:p>
    <w:p w:rsidR="00976011" w:rsidRPr="00976011" w:rsidRDefault="00976011" w:rsidP="00FE3CD0">
      <w:pPr>
        <w:widowControl w:val="0"/>
        <w:tabs>
          <w:tab w:val="left" w:leader="dot" w:pos="9072"/>
        </w:tabs>
        <w:spacing w:before="120" w:after="120"/>
        <w:ind w:firstLine="567"/>
        <w:jc w:val="both"/>
        <w:rPr>
          <w:rFonts w:eastAsia="Aptos"/>
          <w:lang w:val="pt-BR"/>
        </w:rPr>
      </w:pPr>
      <w:r w:rsidRPr="00976011">
        <w:rPr>
          <w:rFonts w:eastAsia="Aptos"/>
          <w:lang w:val="pt-BR"/>
        </w:rPr>
        <w:t>- Sản phẩm, dịch vụ cung cấp: Khoảng 76,5 triệu kWh/năm (năm đầu tiên).</w:t>
      </w:r>
    </w:p>
    <w:p w:rsidR="00976011" w:rsidRPr="00976011" w:rsidRDefault="00976011" w:rsidP="00FE3CD0">
      <w:pPr>
        <w:widowControl w:val="0"/>
        <w:tabs>
          <w:tab w:val="left" w:leader="dot" w:pos="9072"/>
        </w:tabs>
        <w:spacing w:before="120" w:after="120"/>
        <w:ind w:firstLine="567"/>
        <w:jc w:val="both"/>
        <w:rPr>
          <w:rFonts w:eastAsia="Aptos"/>
          <w:lang w:val="pt-BR"/>
        </w:rPr>
      </w:pPr>
      <w:r w:rsidRPr="00976011">
        <w:rPr>
          <w:rFonts w:eastAsia="Aptos"/>
          <w:lang w:val="pt-BR"/>
        </w:rPr>
        <w:t xml:space="preserve">- Quy mô kiến trúc xây dựng dự kiến: </w:t>
      </w:r>
    </w:p>
    <w:p w:rsidR="00976011" w:rsidRPr="00976011" w:rsidRDefault="00976011" w:rsidP="00FE3CD0">
      <w:pPr>
        <w:widowControl w:val="0"/>
        <w:tabs>
          <w:tab w:val="left" w:leader="dot" w:pos="9072"/>
        </w:tabs>
        <w:spacing w:before="120" w:after="120"/>
        <w:ind w:firstLine="567"/>
        <w:jc w:val="both"/>
        <w:rPr>
          <w:rFonts w:eastAsia="Aptos"/>
          <w:lang w:val="pt-BR"/>
        </w:rPr>
      </w:pPr>
      <w:r w:rsidRPr="00976011">
        <w:rPr>
          <w:rFonts w:eastAsia="Aptos"/>
          <w:lang w:val="pt-BR"/>
        </w:rPr>
        <w:t>+ Pin mặt trời kiểu mono-crystalline công suất không nhỏ hơn 735Wp ở điều kiện tiêu chuẩn, lắp trên giá đỡ khung thép góc nghiêng 10</w:t>
      </w:r>
      <w:r w:rsidRPr="00976011">
        <w:rPr>
          <w:rFonts w:eastAsia="Aptos"/>
          <w:vertAlign w:val="superscript"/>
          <w:lang w:val="pt-BR"/>
        </w:rPr>
        <w:t>0</w:t>
      </w:r>
      <w:r w:rsidRPr="00976011">
        <w:rPr>
          <w:rFonts w:eastAsia="Aptos"/>
          <w:lang w:val="pt-BR"/>
        </w:rPr>
        <w:t xml:space="preserve"> đến 13º.</w:t>
      </w:r>
    </w:p>
    <w:p w:rsidR="00976011" w:rsidRPr="00976011" w:rsidRDefault="00976011" w:rsidP="00FE3CD0">
      <w:pPr>
        <w:widowControl w:val="0"/>
        <w:tabs>
          <w:tab w:val="left" w:leader="dot" w:pos="9072"/>
        </w:tabs>
        <w:spacing w:before="120" w:after="120"/>
        <w:ind w:firstLine="567"/>
        <w:jc w:val="both"/>
        <w:rPr>
          <w:rFonts w:eastAsia="Aptos"/>
          <w:lang w:val="pt-BR"/>
        </w:rPr>
      </w:pPr>
      <w:r w:rsidRPr="00976011">
        <w:rPr>
          <w:rFonts w:eastAsia="Aptos"/>
          <w:lang w:val="pt-BR"/>
        </w:rPr>
        <w:t>+ Inverter: Kiểu trung tâm hoặc phân tán.</w:t>
      </w:r>
    </w:p>
    <w:p w:rsidR="00976011" w:rsidRPr="00976011" w:rsidRDefault="00976011" w:rsidP="00FE3CD0">
      <w:pPr>
        <w:widowControl w:val="0"/>
        <w:tabs>
          <w:tab w:val="left" w:leader="dot" w:pos="9072"/>
        </w:tabs>
        <w:spacing w:before="120" w:after="120"/>
        <w:ind w:firstLine="567"/>
        <w:jc w:val="both"/>
        <w:rPr>
          <w:rFonts w:eastAsia="Aptos"/>
          <w:lang w:val="pt-BR"/>
        </w:rPr>
      </w:pPr>
      <w:r w:rsidRPr="00976011">
        <w:rPr>
          <w:rFonts w:eastAsia="Aptos"/>
          <w:lang w:val="pt-BR"/>
        </w:rPr>
        <w:t>+ Hệ thống lưu trữ BESS: Acquy LiFePO4 có tuổi thọ không nhỏ hơn 10 năm, dung lượng 4 MW/8 MWh.</w:t>
      </w:r>
    </w:p>
    <w:p w:rsidR="00976011" w:rsidRPr="00976011" w:rsidRDefault="00976011" w:rsidP="00FE3CD0">
      <w:pPr>
        <w:widowControl w:val="0"/>
        <w:tabs>
          <w:tab w:val="left" w:leader="dot" w:pos="9072"/>
        </w:tabs>
        <w:spacing w:before="120" w:after="120"/>
        <w:ind w:firstLine="567"/>
        <w:jc w:val="both"/>
        <w:rPr>
          <w:rFonts w:eastAsia="Aptos"/>
          <w:lang w:val="pt-BR"/>
        </w:rPr>
      </w:pPr>
      <w:r w:rsidRPr="00976011">
        <w:rPr>
          <w:rFonts w:eastAsia="Aptos"/>
          <w:lang w:val="pt-BR"/>
        </w:rPr>
        <w:t>+ Móng Inverter: Kiểu bê tông cốt thép đổ</w:t>
      </w:r>
      <w:r w:rsidR="00B42C72">
        <w:rPr>
          <w:rFonts w:eastAsia="Aptos"/>
          <w:lang w:val="pt-BR"/>
        </w:rPr>
        <w:t xml:space="preserve"> liền</w:t>
      </w:r>
      <w:r w:rsidRPr="00976011">
        <w:rPr>
          <w:rFonts w:eastAsia="Aptos"/>
          <w:lang w:val="pt-BR"/>
        </w:rPr>
        <w:t xml:space="preserve"> khối.</w:t>
      </w:r>
    </w:p>
    <w:p w:rsidR="00976011" w:rsidRPr="00976011" w:rsidRDefault="00976011" w:rsidP="00FE3CD0">
      <w:pPr>
        <w:widowControl w:val="0"/>
        <w:tabs>
          <w:tab w:val="left" w:leader="dot" w:pos="9072"/>
        </w:tabs>
        <w:spacing w:before="120" w:after="120"/>
        <w:ind w:firstLine="567"/>
        <w:jc w:val="both"/>
        <w:rPr>
          <w:rFonts w:eastAsia="Aptos"/>
          <w:lang w:val="pt-BR"/>
        </w:rPr>
      </w:pPr>
      <w:r w:rsidRPr="00976011">
        <w:rPr>
          <w:rFonts w:eastAsia="Aptos"/>
          <w:lang w:val="pt-BR"/>
        </w:rPr>
        <w:t>+ Trạm biến áp 220kV, kết cấu cột xà thép mạ kẽm.</w:t>
      </w:r>
    </w:p>
    <w:p w:rsidR="00976011" w:rsidRPr="00976011" w:rsidRDefault="00976011" w:rsidP="00FE3CD0">
      <w:pPr>
        <w:widowControl w:val="0"/>
        <w:tabs>
          <w:tab w:val="left" w:leader="dot" w:pos="9072"/>
        </w:tabs>
        <w:spacing w:before="120" w:after="120"/>
        <w:ind w:firstLine="567"/>
        <w:jc w:val="both"/>
        <w:rPr>
          <w:rFonts w:eastAsia="Aptos"/>
          <w:lang w:val="pt-BR"/>
        </w:rPr>
      </w:pPr>
      <w:r w:rsidRPr="00976011">
        <w:rPr>
          <w:rFonts w:eastAsia="Aptos"/>
          <w:lang w:val="pt-BR"/>
        </w:rPr>
        <w:t>+ Nhà điều khiển kết cấu khung bê tông cốt thép.</w:t>
      </w:r>
    </w:p>
    <w:p w:rsidR="00976011" w:rsidRPr="00976011" w:rsidRDefault="00976011" w:rsidP="00FE3CD0">
      <w:pPr>
        <w:widowControl w:val="0"/>
        <w:tabs>
          <w:tab w:val="left" w:leader="dot" w:pos="9072"/>
        </w:tabs>
        <w:spacing w:before="120" w:after="120"/>
        <w:ind w:firstLine="567"/>
        <w:jc w:val="both"/>
        <w:outlineLvl w:val="0"/>
        <w:rPr>
          <w:color w:val="000000"/>
        </w:rPr>
      </w:pPr>
      <w:r w:rsidRPr="00976011">
        <w:rPr>
          <w:b/>
          <w:color w:val="000000"/>
        </w:rPr>
        <w:t>2.5. Vốn đầu tư và phương án huy động vốn:</w:t>
      </w:r>
      <w:r w:rsidRPr="00976011">
        <w:rPr>
          <w:color w:val="000000"/>
        </w:rPr>
        <w:t xml:space="preserve"> </w:t>
      </w:r>
    </w:p>
    <w:p w:rsidR="00976011" w:rsidRPr="00976011" w:rsidRDefault="00976011" w:rsidP="00FE3CD0">
      <w:pPr>
        <w:widowControl w:val="0"/>
        <w:shd w:val="clear" w:color="auto" w:fill="FFFFFF"/>
        <w:spacing w:before="120" w:after="120"/>
        <w:ind w:firstLine="567"/>
        <w:jc w:val="both"/>
      </w:pPr>
      <w:r w:rsidRPr="00976011">
        <w:rPr>
          <w:b/>
          <w:color w:val="000000"/>
        </w:rPr>
        <w:t>a) Vốn đầu tư:</w:t>
      </w:r>
      <w:r w:rsidRPr="00976011">
        <w:rPr>
          <w:color w:val="000000"/>
        </w:rPr>
        <w:t xml:space="preserve"> </w:t>
      </w:r>
      <w:bookmarkStart w:id="6" w:name="bookmark61"/>
      <w:bookmarkStart w:id="7" w:name="bookmark64"/>
      <w:bookmarkEnd w:id="6"/>
      <w:bookmarkEnd w:id="7"/>
      <w:r w:rsidRPr="00976011">
        <w:t xml:space="preserve">790.000.000.000 </w:t>
      </w:r>
      <w:r w:rsidR="00B42C72">
        <w:t>đồng</w:t>
      </w:r>
      <w:r w:rsidRPr="00976011">
        <w:t xml:space="preserve"> </w:t>
      </w:r>
      <w:r w:rsidRPr="00976011">
        <w:rPr>
          <w:i/>
        </w:rPr>
        <w:t>(Bằng chữ: Bảy trăm chín mươi tỷ đồng)</w:t>
      </w:r>
      <w:r w:rsidRPr="00976011">
        <w:t xml:space="preserve">, trong đó: </w:t>
      </w:r>
    </w:p>
    <w:p w:rsidR="00976011" w:rsidRPr="00976011" w:rsidRDefault="00976011" w:rsidP="00FE3CD0">
      <w:pPr>
        <w:widowControl w:val="0"/>
        <w:shd w:val="clear" w:color="auto" w:fill="FFFFFF"/>
        <w:spacing w:before="120" w:after="120"/>
        <w:ind w:firstLine="567"/>
        <w:jc w:val="both"/>
        <w:rPr>
          <w:i/>
        </w:rPr>
      </w:pPr>
      <w:r w:rsidRPr="00976011">
        <w:t xml:space="preserve">- Vốn của nhà đầu tư: 190.000.000.000 </w:t>
      </w:r>
      <w:r w:rsidR="00B42C72">
        <w:t>đồng</w:t>
      </w:r>
      <w:r w:rsidRPr="00976011">
        <w:t xml:space="preserve"> </w:t>
      </w:r>
      <w:r w:rsidRPr="00976011">
        <w:rPr>
          <w:i/>
        </w:rPr>
        <w:t xml:space="preserve">(Bằng chữ: Một trăm chín mươi tỷ đồng) </w:t>
      </w:r>
    </w:p>
    <w:p w:rsidR="00976011" w:rsidRPr="00976011" w:rsidRDefault="00976011" w:rsidP="00FE3CD0">
      <w:pPr>
        <w:widowControl w:val="0"/>
        <w:shd w:val="clear" w:color="auto" w:fill="FFFFFF"/>
        <w:spacing w:before="120" w:after="120"/>
        <w:ind w:firstLine="567"/>
        <w:jc w:val="both"/>
      </w:pPr>
      <w:r w:rsidRPr="00976011">
        <w:lastRenderedPageBreak/>
        <w:t xml:space="preserve">- Vốn huy động: 600.000.000.000 </w:t>
      </w:r>
      <w:r w:rsidR="00B42C72">
        <w:t>đồng</w:t>
      </w:r>
      <w:r w:rsidRPr="00976011">
        <w:t xml:space="preserve"> </w:t>
      </w:r>
      <w:r w:rsidRPr="00976011">
        <w:rPr>
          <w:i/>
        </w:rPr>
        <w:t>(Bằng chữ: Sáu trăm tỷ đồng)</w:t>
      </w:r>
      <w:r w:rsidR="00B42C72">
        <w:t>, t</w:t>
      </w:r>
      <w:r w:rsidRPr="00976011">
        <w:t>rong đó:</w:t>
      </w:r>
    </w:p>
    <w:p w:rsidR="00976011" w:rsidRPr="00976011" w:rsidRDefault="00976011" w:rsidP="00FE3CD0">
      <w:pPr>
        <w:widowControl w:val="0"/>
        <w:shd w:val="clear" w:color="auto" w:fill="FFFFFF"/>
        <w:spacing w:before="120" w:after="120"/>
        <w:ind w:firstLine="567"/>
        <w:jc w:val="both"/>
      </w:pPr>
      <w:r w:rsidRPr="00976011">
        <w:t xml:space="preserve">+ Vốn vay từ các tổ chức tín dụng: 600.000.000.000 </w:t>
      </w:r>
      <w:r w:rsidR="00B42C72">
        <w:t>đồng</w:t>
      </w:r>
      <w:r w:rsidRPr="00976011">
        <w:t xml:space="preserve"> </w:t>
      </w:r>
      <w:r w:rsidRPr="00976011">
        <w:rPr>
          <w:i/>
        </w:rPr>
        <w:t>(Bằng chữ: Sáu trăm tỷ đồng).</w:t>
      </w:r>
    </w:p>
    <w:p w:rsidR="00976011" w:rsidRPr="00976011" w:rsidRDefault="00976011" w:rsidP="00FE3CD0">
      <w:pPr>
        <w:widowControl w:val="0"/>
        <w:shd w:val="clear" w:color="auto" w:fill="FFFFFF"/>
        <w:spacing w:before="120" w:after="120"/>
        <w:ind w:firstLine="567"/>
        <w:jc w:val="both"/>
      </w:pPr>
      <w:r w:rsidRPr="00976011">
        <w:t>+ Vốn huy động từ cổ đông, thành viên, từ các chủ thể khác: Không.</w:t>
      </w:r>
    </w:p>
    <w:p w:rsidR="00976011" w:rsidRPr="00976011" w:rsidRDefault="00976011" w:rsidP="00FE3CD0">
      <w:pPr>
        <w:widowControl w:val="0"/>
        <w:shd w:val="clear" w:color="auto" w:fill="FFFFFF"/>
        <w:spacing w:before="120" w:after="120"/>
        <w:ind w:firstLine="567"/>
        <w:jc w:val="both"/>
      </w:pPr>
      <w:r w:rsidRPr="00976011">
        <w:t>+ Vốn huy động từ nguồn khác (ghi rõ nguồn): Không.</w:t>
      </w:r>
    </w:p>
    <w:p w:rsidR="00976011" w:rsidRPr="00976011" w:rsidRDefault="00976011" w:rsidP="00FE3CD0">
      <w:pPr>
        <w:widowControl w:val="0"/>
        <w:shd w:val="clear" w:color="auto" w:fill="FFFFFF"/>
        <w:spacing w:before="120" w:after="120"/>
        <w:ind w:firstLine="567"/>
        <w:jc w:val="both"/>
      </w:pPr>
      <w:r w:rsidRPr="00976011">
        <w:t>- Lợi nhuận để lại của nhà đầu tư để tái đầu tư (nếu có): Không.</w:t>
      </w:r>
    </w:p>
    <w:p w:rsidR="00976011" w:rsidRPr="00976011" w:rsidRDefault="00976011" w:rsidP="00FE3CD0">
      <w:pPr>
        <w:widowControl w:val="0"/>
        <w:shd w:val="clear" w:color="auto" w:fill="FFFFFF"/>
        <w:spacing w:before="120" w:after="120"/>
        <w:ind w:firstLine="567"/>
        <w:jc w:val="both"/>
        <w:rPr>
          <w:b/>
          <w:color w:val="000000"/>
        </w:rPr>
      </w:pPr>
      <w:r w:rsidRPr="00976011">
        <w:rPr>
          <w:b/>
          <w:color w:val="000000"/>
        </w:rPr>
        <w:t>b) Phương án huy động vốn</w:t>
      </w:r>
    </w:p>
    <w:p w:rsidR="00976011" w:rsidRPr="00976011" w:rsidRDefault="00976011" w:rsidP="00FE3CD0">
      <w:pPr>
        <w:widowControl w:val="0"/>
        <w:tabs>
          <w:tab w:val="left" w:pos="857"/>
          <w:tab w:val="left" w:leader="dot" w:pos="8967"/>
        </w:tabs>
        <w:spacing w:before="120" w:after="120"/>
        <w:ind w:firstLine="567"/>
        <w:jc w:val="both"/>
      </w:pPr>
      <w:r w:rsidRPr="00976011">
        <w:t>- Vốn góp để thực hiện dự án: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1947"/>
        <w:gridCol w:w="2107"/>
        <w:gridCol w:w="1057"/>
        <w:gridCol w:w="999"/>
        <w:gridCol w:w="1228"/>
        <w:gridCol w:w="1204"/>
      </w:tblGrid>
      <w:tr w:rsidR="00976011" w:rsidRPr="00976011" w:rsidTr="000F781C">
        <w:trPr>
          <w:jc w:val="center"/>
        </w:trPr>
        <w:tc>
          <w:tcPr>
            <w:tcW w:w="402" w:type="pct"/>
            <w:vMerge w:val="restart"/>
            <w:tcBorders>
              <w:top w:val="single" w:sz="4" w:space="0" w:color="000000"/>
              <w:left w:val="single" w:sz="4" w:space="0" w:color="000000"/>
              <w:bottom w:val="single" w:sz="4" w:space="0" w:color="000000"/>
              <w:right w:val="single" w:sz="4" w:space="0" w:color="000000"/>
            </w:tcBorders>
            <w:vAlign w:val="center"/>
            <w:hideMark/>
          </w:tcPr>
          <w:p w:rsidR="00976011" w:rsidRPr="00976011" w:rsidRDefault="00976011" w:rsidP="00FE3CD0">
            <w:pPr>
              <w:widowControl w:val="0"/>
              <w:spacing w:before="120" w:after="120"/>
              <w:jc w:val="center"/>
              <w:rPr>
                <w:rFonts w:eastAsia="Aptos"/>
                <w:b/>
              </w:rPr>
            </w:pPr>
            <w:r w:rsidRPr="00976011">
              <w:rPr>
                <w:rFonts w:eastAsia="Aptos"/>
                <w:b/>
              </w:rPr>
              <w:t>STT</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hideMark/>
          </w:tcPr>
          <w:p w:rsidR="00976011" w:rsidRPr="00976011" w:rsidRDefault="00976011" w:rsidP="00FE3CD0">
            <w:pPr>
              <w:widowControl w:val="0"/>
              <w:spacing w:before="120" w:after="120"/>
              <w:jc w:val="center"/>
              <w:rPr>
                <w:rFonts w:eastAsia="Aptos"/>
                <w:b/>
              </w:rPr>
            </w:pPr>
            <w:r w:rsidRPr="00976011">
              <w:rPr>
                <w:rFonts w:eastAsia="Aptos"/>
                <w:b/>
              </w:rPr>
              <w:t>Tên nhà đầu tư</w:t>
            </w:r>
          </w:p>
        </w:tc>
        <w:tc>
          <w:tcPr>
            <w:tcW w:w="1703" w:type="pct"/>
            <w:gridSpan w:val="2"/>
            <w:tcBorders>
              <w:top w:val="single" w:sz="4" w:space="0" w:color="000000"/>
              <w:left w:val="single" w:sz="4" w:space="0" w:color="000000"/>
              <w:bottom w:val="single" w:sz="4" w:space="0" w:color="000000"/>
              <w:right w:val="single" w:sz="4" w:space="0" w:color="000000"/>
            </w:tcBorders>
            <w:vAlign w:val="center"/>
            <w:hideMark/>
          </w:tcPr>
          <w:p w:rsidR="00976011" w:rsidRPr="00976011" w:rsidRDefault="00976011" w:rsidP="00FE3CD0">
            <w:pPr>
              <w:widowControl w:val="0"/>
              <w:spacing w:before="120" w:after="120"/>
              <w:jc w:val="center"/>
              <w:rPr>
                <w:rFonts w:eastAsia="Aptos"/>
                <w:i/>
              </w:rPr>
            </w:pPr>
            <w:r w:rsidRPr="00976011">
              <w:rPr>
                <w:rFonts w:eastAsia="Aptos"/>
                <w:b/>
              </w:rPr>
              <w:t>Số vốn góp</w:t>
            </w:r>
          </w:p>
        </w:tc>
        <w:tc>
          <w:tcPr>
            <w:tcW w:w="538" w:type="pct"/>
            <w:vMerge w:val="restart"/>
            <w:tcBorders>
              <w:top w:val="single" w:sz="4" w:space="0" w:color="000000"/>
              <w:left w:val="single" w:sz="4" w:space="0" w:color="000000"/>
              <w:bottom w:val="single" w:sz="4" w:space="0" w:color="000000"/>
              <w:right w:val="single" w:sz="4" w:space="0" w:color="000000"/>
            </w:tcBorders>
            <w:vAlign w:val="center"/>
          </w:tcPr>
          <w:p w:rsidR="00976011" w:rsidRPr="00976011" w:rsidRDefault="00976011" w:rsidP="00FE3CD0">
            <w:pPr>
              <w:widowControl w:val="0"/>
              <w:spacing w:before="120" w:after="120"/>
              <w:jc w:val="center"/>
              <w:rPr>
                <w:rFonts w:eastAsia="Aptos"/>
                <w:b/>
              </w:rPr>
            </w:pPr>
            <w:r w:rsidRPr="00976011">
              <w:rPr>
                <w:rFonts w:eastAsia="Aptos"/>
                <w:b/>
              </w:rPr>
              <w:t>Tỷ lệ (%)</w:t>
            </w:r>
          </w:p>
          <w:p w:rsidR="00976011" w:rsidRPr="00976011" w:rsidRDefault="00976011" w:rsidP="00FE3CD0">
            <w:pPr>
              <w:widowControl w:val="0"/>
              <w:spacing w:before="120" w:after="120"/>
              <w:jc w:val="center"/>
              <w:rPr>
                <w:rFonts w:eastAsia="Aptos"/>
                <w:b/>
              </w:rPr>
            </w:pPr>
          </w:p>
        </w:tc>
        <w:tc>
          <w:tcPr>
            <w:tcW w:w="661" w:type="pct"/>
            <w:vMerge w:val="restart"/>
            <w:tcBorders>
              <w:top w:val="single" w:sz="4" w:space="0" w:color="000000"/>
              <w:left w:val="single" w:sz="4" w:space="0" w:color="000000"/>
              <w:bottom w:val="single" w:sz="4" w:space="0" w:color="000000"/>
              <w:right w:val="single" w:sz="4" w:space="0" w:color="000000"/>
            </w:tcBorders>
            <w:vAlign w:val="center"/>
            <w:hideMark/>
          </w:tcPr>
          <w:p w:rsidR="00976011" w:rsidRPr="00976011" w:rsidRDefault="00976011" w:rsidP="00FE3CD0">
            <w:pPr>
              <w:widowControl w:val="0"/>
              <w:spacing w:before="120" w:after="120"/>
              <w:jc w:val="center"/>
              <w:rPr>
                <w:rFonts w:eastAsia="Aptos"/>
                <w:b/>
              </w:rPr>
            </w:pPr>
            <w:r w:rsidRPr="00976011">
              <w:rPr>
                <w:rFonts w:eastAsia="Aptos"/>
                <w:b/>
              </w:rPr>
              <w:t>Phương thức góp vốn (*)</w:t>
            </w:r>
          </w:p>
        </w:tc>
        <w:tc>
          <w:tcPr>
            <w:tcW w:w="649" w:type="pct"/>
            <w:vMerge w:val="restart"/>
            <w:tcBorders>
              <w:top w:val="single" w:sz="4" w:space="0" w:color="000000"/>
              <w:left w:val="single" w:sz="4" w:space="0" w:color="000000"/>
              <w:bottom w:val="single" w:sz="4" w:space="0" w:color="000000"/>
              <w:right w:val="single" w:sz="4" w:space="0" w:color="000000"/>
            </w:tcBorders>
            <w:vAlign w:val="center"/>
            <w:hideMark/>
          </w:tcPr>
          <w:p w:rsidR="00976011" w:rsidRPr="00976011" w:rsidRDefault="00976011" w:rsidP="00FE3CD0">
            <w:pPr>
              <w:widowControl w:val="0"/>
              <w:spacing w:before="120" w:after="120"/>
              <w:jc w:val="center"/>
              <w:rPr>
                <w:rFonts w:eastAsia="Aptos"/>
                <w:b/>
              </w:rPr>
            </w:pPr>
            <w:r w:rsidRPr="00976011">
              <w:rPr>
                <w:rFonts w:eastAsia="Aptos"/>
                <w:b/>
              </w:rPr>
              <w:t>Tiến độ góp vốn</w:t>
            </w:r>
          </w:p>
        </w:tc>
      </w:tr>
      <w:tr w:rsidR="00976011" w:rsidRPr="00976011" w:rsidTr="000F781C">
        <w:trPr>
          <w:jc w:val="center"/>
        </w:trPr>
        <w:tc>
          <w:tcPr>
            <w:tcW w:w="402" w:type="pct"/>
            <w:vMerge/>
            <w:tcBorders>
              <w:top w:val="single" w:sz="4" w:space="0" w:color="000000"/>
              <w:left w:val="single" w:sz="4" w:space="0" w:color="000000"/>
              <w:bottom w:val="single" w:sz="4" w:space="0" w:color="000000"/>
              <w:right w:val="single" w:sz="4" w:space="0" w:color="000000"/>
            </w:tcBorders>
            <w:vAlign w:val="center"/>
            <w:hideMark/>
          </w:tcPr>
          <w:p w:rsidR="00976011" w:rsidRPr="00976011" w:rsidRDefault="00976011" w:rsidP="00FE3CD0">
            <w:pPr>
              <w:widowControl w:val="0"/>
              <w:spacing w:before="120" w:after="120"/>
              <w:jc w:val="center"/>
              <w:rPr>
                <w:rFonts w:eastAsia="Aptos"/>
                <w:b/>
              </w:rPr>
            </w:pPr>
          </w:p>
        </w:tc>
        <w:tc>
          <w:tcPr>
            <w:tcW w:w="1048" w:type="pct"/>
            <w:vMerge/>
            <w:tcBorders>
              <w:top w:val="single" w:sz="4" w:space="0" w:color="000000"/>
              <w:left w:val="single" w:sz="4" w:space="0" w:color="000000"/>
              <w:bottom w:val="single" w:sz="4" w:space="0" w:color="000000"/>
              <w:right w:val="single" w:sz="4" w:space="0" w:color="000000"/>
            </w:tcBorders>
            <w:vAlign w:val="center"/>
            <w:hideMark/>
          </w:tcPr>
          <w:p w:rsidR="00976011" w:rsidRPr="00976011" w:rsidRDefault="00976011" w:rsidP="00FE3CD0">
            <w:pPr>
              <w:widowControl w:val="0"/>
              <w:spacing w:before="120" w:after="120"/>
              <w:jc w:val="center"/>
              <w:rPr>
                <w:rFonts w:eastAsia="Aptos"/>
                <w:b/>
              </w:rPr>
            </w:pPr>
          </w:p>
        </w:tc>
        <w:tc>
          <w:tcPr>
            <w:tcW w:w="1134" w:type="pct"/>
            <w:tcBorders>
              <w:top w:val="single" w:sz="4" w:space="0" w:color="000000"/>
              <w:left w:val="single" w:sz="4" w:space="0" w:color="000000"/>
              <w:bottom w:val="single" w:sz="4" w:space="0" w:color="000000"/>
              <w:right w:val="single" w:sz="4" w:space="0" w:color="000000"/>
            </w:tcBorders>
            <w:vAlign w:val="center"/>
            <w:hideMark/>
          </w:tcPr>
          <w:p w:rsidR="00976011" w:rsidRPr="00976011" w:rsidRDefault="00976011" w:rsidP="00FE3CD0">
            <w:pPr>
              <w:widowControl w:val="0"/>
              <w:spacing w:before="120" w:after="120"/>
              <w:jc w:val="center"/>
              <w:rPr>
                <w:rFonts w:eastAsia="Aptos"/>
                <w:b/>
              </w:rPr>
            </w:pPr>
            <w:r w:rsidRPr="00976011">
              <w:rPr>
                <w:rFonts w:eastAsia="Aptos"/>
                <w:b/>
              </w:rPr>
              <w:t>VNĐ</w:t>
            </w:r>
          </w:p>
        </w:tc>
        <w:tc>
          <w:tcPr>
            <w:tcW w:w="569" w:type="pct"/>
            <w:tcBorders>
              <w:top w:val="single" w:sz="4" w:space="0" w:color="000000"/>
              <w:left w:val="single" w:sz="4" w:space="0" w:color="000000"/>
              <w:bottom w:val="single" w:sz="4" w:space="0" w:color="000000"/>
              <w:right w:val="single" w:sz="4" w:space="0" w:color="000000"/>
            </w:tcBorders>
            <w:vAlign w:val="center"/>
            <w:hideMark/>
          </w:tcPr>
          <w:p w:rsidR="00976011" w:rsidRPr="00976011" w:rsidRDefault="00976011" w:rsidP="00FE3CD0">
            <w:pPr>
              <w:widowControl w:val="0"/>
              <w:spacing w:before="120" w:after="120"/>
              <w:jc w:val="center"/>
              <w:rPr>
                <w:rFonts w:eastAsia="Aptos"/>
                <w:b/>
              </w:rPr>
            </w:pPr>
            <w:r w:rsidRPr="00976011">
              <w:rPr>
                <w:rFonts w:eastAsia="Aptos"/>
                <w:b/>
              </w:rPr>
              <w:t>Tương đương USD</w:t>
            </w:r>
          </w:p>
        </w:tc>
        <w:tc>
          <w:tcPr>
            <w:tcW w:w="538" w:type="pct"/>
            <w:vMerge/>
            <w:tcBorders>
              <w:top w:val="single" w:sz="4" w:space="0" w:color="000000"/>
              <w:left w:val="single" w:sz="4" w:space="0" w:color="000000"/>
              <w:bottom w:val="single" w:sz="4" w:space="0" w:color="000000"/>
              <w:right w:val="single" w:sz="4" w:space="0" w:color="000000"/>
            </w:tcBorders>
            <w:vAlign w:val="center"/>
            <w:hideMark/>
          </w:tcPr>
          <w:p w:rsidR="00976011" w:rsidRPr="00976011" w:rsidRDefault="00976011" w:rsidP="00FE3CD0">
            <w:pPr>
              <w:widowControl w:val="0"/>
              <w:spacing w:before="120" w:after="120"/>
              <w:jc w:val="center"/>
              <w:rPr>
                <w:rFonts w:eastAsia="Aptos"/>
                <w:b/>
              </w:rPr>
            </w:pPr>
          </w:p>
        </w:tc>
        <w:tc>
          <w:tcPr>
            <w:tcW w:w="661" w:type="pct"/>
            <w:vMerge/>
            <w:tcBorders>
              <w:top w:val="single" w:sz="4" w:space="0" w:color="000000"/>
              <w:left w:val="single" w:sz="4" w:space="0" w:color="000000"/>
              <w:bottom w:val="single" w:sz="4" w:space="0" w:color="000000"/>
              <w:right w:val="single" w:sz="4" w:space="0" w:color="000000"/>
            </w:tcBorders>
            <w:vAlign w:val="center"/>
            <w:hideMark/>
          </w:tcPr>
          <w:p w:rsidR="00976011" w:rsidRPr="00976011" w:rsidRDefault="00976011" w:rsidP="00FE3CD0">
            <w:pPr>
              <w:widowControl w:val="0"/>
              <w:spacing w:before="120" w:after="120"/>
              <w:jc w:val="center"/>
              <w:rPr>
                <w:rFonts w:eastAsia="Aptos"/>
                <w:b/>
              </w:rPr>
            </w:pPr>
          </w:p>
        </w:tc>
        <w:tc>
          <w:tcPr>
            <w:tcW w:w="649" w:type="pct"/>
            <w:vMerge/>
            <w:tcBorders>
              <w:top w:val="single" w:sz="4" w:space="0" w:color="000000"/>
              <w:left w:val="single" w:sz="4" w:space="0" w:color="000000"/>
              <w:bottom w:val="single" w:sz="4" w:space="0" w:color="000000"/>
              <w:right w:val="single" w:sz="4" w:space="0" w:color="000000"/>
            </w:tcBorders>
            <w:vAlign w:val="center"/>
            <w:hideMark/>
          </w:tcPr>
          <w:p w:rsidR="00976011" w:rsidRPr="00976011" w:rsidRDefault="00976011" w:rsidP="00FE3CD0">
            <w:pPr>
              <w:widowControl w:val="0"/>
              <w:spacing w:before="120" w:after="120"/>
              <w:jc w:val="center"/>
              <w:rPr>
                <w:rFonts w:eastAsia="Aptos"/>
                <w:b/>
              </w:rPr>
            </w:pPr>
          </w:p>
        </w:tc>
      </w:tr>
      <w:tr w:rsidR="00976011" w:rsidRPr="00976011" w:rsidTr="000F781C">
        <w:trPr>
          <w:jc w:val="center"/>
        </w:trPr>
        <w:tc>
          <w:tcPr>
            <w:tcW w:w="402" w:type="pct"/>
            <w:tcBorders>
              <w:top w:val="single" w:sz="4" w:space="0" w:color="000000"/>
              <w:left w:val="single" w:sz="4" w:space="0" w:color="000000"/>
              <w:bottom w:val="single" w:sz="4" w:space="0" w:color="000000"/>
              <w:right w:val="single" w:sz="4" w:space="0" w:color="000000"/>
            </w:tcBorders>
            <w:vAlign w:val="center"/>
          </w:tcPr>
          <w:p w:rsidR="00976011" w:rsidRPr="00976011" w:rsidRDefault="00976011" w:rsidP="00FE3CD0">
            <w:pPr>
              <w:widowControl w:val="0"/>
              <w:spacing w:before="120" w:after="120"/>
              <w:jc w:val="center"/>
              <w:rPr>
                <w:rFonts w:eastAsia="Aptos"/>
              </w:rPr>
            </w:pPr>
            <w:r w:rsidRPr="00976011">
              <w:rPr>
                <w:rFonts w:eastAsia="Aptos"/>
              </w:rPr>
              <w:t>1</w:t>
            </w:r>
          </w:p>
        </w:tc>
        <w:tc>
          <w:tcPr>
            <w:tcW w:w="1048" w:type="pct"/>
            <w:tcBorders>
              <w:top w:val="single" w:sz="4" w:space="0" w:color="000000"/>
              <w:left w:val="single" w:sz="4" w:space="0" w:color="000000"/>
              <w:bottom w:val="single" w:sz="4" w:space="0" w:color="000000"/>
              <w:right w:val="single" w:sz="4" w:space="0" w:color="000000"/>
            </w:tcBorders>
            <w:vAlign w:val="center"/>
          </w:tcPr>
          <w:p w:rsidR="00976011" w:rsidRPr="00976011" w:rsidRDefault="00976011" w:rsidP="00FE3CD0">
            <w:pPr>
              <w:widowControl w:val="0"/>
              <w:spacing w:before="120" w:after="120"/>
              <w:jc w:val="center"/>
              <w:rPr>
                <w:rFonts w:eastAsia="Aptos"/>
              </w:rPr>
            </w:pPr>
            <w:r w:rsidRPr="00976011">
              <w:rPr>
                <w:rFonts w:eastAsia="Aptos"/>
                <w:lang w:val="pt-BR"/>
              </w:rPr>
              <w:t>Công ty Cổ phần điện mặt trời Ea Pô 1</w:t>
            </w:r>
          </w:p>
        </w:tc>
        <w:tc>
          <w:tcPr>
            <w:tcW w:w="1134" w:type="pct"/>
            <w:tcBorders>
              <w:top w:val="single" w:sz="4" w:space="0" w:color="000000"/>
              <w:left w:val="single" w:sz="4" w:space="0" w:color="000000"/>
              <w:bottom w:val="single" w:sz="4" w:space="0" w:color="000000"/>
              <w:right w:val="single" w:sz="4" w:space="0" w:color="000000"/>
            </w:tcBorders>
            <w:vAlign w:val="center"/>
          </w:tcPr>
          <w:p w:rsidR="00976011" w:rsidRPr="00976011" w:rsidRDefault="00976011" w:rsidP="00FE3CD0">
            <w:pPr>
              <w:widowControl w:val="0"/>
              <w:spacing w:before="120" w:after="120"/>
              <w:jc w:val="center"/>
              <w:rPr>
                <w:rFonts w:eastAsia="Aptos"/>
              </w:rPr>
            </w:pPr>
            <w:r w:rsidRPr="00976011">
              <w:rPr>
                <w:rFonts w:eastAsia="Aptos"/>
                <w:lang w:val="pt-BR"/>
              </w:rPr>
              <w:t>190.000.000.000</w:t>
            </w:r>
          </w:p>
        </w:tc>
        <w:tc>
          <w:tcPr>
            <w:tcW w:w="569" w:type="pct"/>
            <w:tcBorders>
              <w:top w:val="single" w:sz="4" w:space="0" w:color="000000"/>
              <w:left w:val="single" w:sz="4" w:space="0" w:color="000000"/>
              <w:bottom w:val="single" w:sz="4" w:space="0" w:color="000000"/>
              <w:right w:val="single" w:sz="4" w:space="0" w:color="000000"/>
            </w:tcBorders>
            <w:vAlign w:val="center"/>
          </w:tcPr>
          <w:p w:rsidR="00976011" w:rsidRPr="00976011" w:rsidRDefault="00976011" w:rsidP="00FE3CD0">
            <w:pPr>
              <w:widowControl w:val="0"/>
              <w:spacing w:before="120" w:after="120"/>
              <w:jc w:val="center"/>
              <w:rPr>
                <w:rFonts w:eastAsia="Aptos"/>
              </w:rPr>
            </w:pPr>
          </w:p>
        </w:tc>
        <w:tc>
          <w:tcPr>
            <w:tcW w:w="538" w:type="pct"/>
            <w:tcBorders>
              <w:top w:val="single" w:sz="4" w:space="0" w:color="000000"/>
              <w:left w:val="single" w:sz="4" w:space="0" w:color="000000"/>
              <w:bottom w:val="single" w:sz="4" w:space="0" w:color="000000"/>
              <w:right w:val="single" w:sz="4" w:space="0" w:color="000000"/>
            </w:tcBorders>
            <w:vAlign w:val="center"/>
          </w:tcPr>
          <w:p w:rsidR="00976011" w:rsidRPr="00B42C72" w:rsidRDefault="00976011" w:rsidP="00FE3CD0">
            <w:pPr>
              <w:widowControl w:val="0"/>
              <w:spacing w:before="120" w:after="120"/>
              <w:jc w:val="center"/>
              <w:rPr>
                <w:rFonts w:eastAsia="Aptos"/>
              </w:rPr>
            </w:pPr>
            <w:r w:rsidRPr="00B42C72">
              <w:rPr>
                <w:rFonts w:eastAsia="Aptos"/>
              </w:rPr>
              <w:t>100%</w:t>
            </w:r>
          </w:p>
        </w:tc>
        <w:tc>
          <w:tcPr>
            <w:tcW w:w="661" w:type="pct"/>
            <w:tcBorders>
              <w:top w:val="single" w:sz="4" w:space="0" w:color="000000"/>
              <w:left w:val="single" w:sz="4" w:space="0" w:color="000000"/>
              <w:bottom w:val="single" w:sz="4" w:space="0" w:color="000000"/>
              <w:right w:val="single" w:sz="4" w:space="0" w:color="000000"/>
            </w:tcBorders>
            <w:vAlign w:val="center"/>
          </w:tcPr>
          <w:p w:rsidR="00976011" w:rsidRPr="00976011" w:rsidRDefault="00976011" w:rsidP="00FE3CD0">
            <w:pPr>
              <w:widowControl w:val="0"/>
              <w:spacing w:before="120" w:after="120"/>
              <w:jc w:val="center"/>
              <w:rPr>
                <w:rFonts w:eastAsia="Aptos"/>
              </w:rPr>
            </w:pPr>
            <w:r w:rsidRPr="00976011">
              <w:rPr>
                <w:rFonts w:eastAsia="Aptos"/>
              </w:rPr>
              <w:t>Tiền mặt</w:t>
            </w:r>
          </w:p>
        </w:tc>
        <w:tc>
          <w:tcPr>
            <w:tcW w:w="649" w:type="pct"/>
            <w:tcBorders>
              <w:top w:val="single" w:sz="4" w:space="0" w:color="000000"/>
              <w:left w:val="single" w:sz="4" w:space="0" w:color="000000"/>
              <w:bottom w:val="single" w:sz="4" w:space="0" w:color="000000"/>
              <w:right w:val="single" w:sz="4" w:space="0" w:color="000000"/>
            </w:tcBorders>
            <w:vAlign w:val="center"/>
          </w:tcPr>
          <w:p w:rsidR="00976011" w:rsidRPr="00976011" w:rsidRDefault="00976011" w:rsidP="00FE3CD0">
            <w:pPr>
              <w:widowControl w:val="0"/>
              <w:spacing w:before="120" w:after="120"/>
              <w:jc w:val="center"/>
              <w:rPr>
                <w:rFonts w:eastAsia="Aptos"/>
              </w:rPr>
            </w:pPr>
            <w:r w:rsidRPr="00976011">
              <w:rPr>
                <w:rFonts w:eastAsia="Aptos"/>
              </w:rPr>
              <w:t>Theo tiến độ dự án</w:t>
            </w:r>
          </w:p>
        </w:tc>
      </w:tr>
      <w:tr w:rsidR="00976011" w:rsidRPr="00976011" w:rsidTr="000F781C">
        <w:trPr>
          <w:jc w:val="center"/>
        </w:trPr>
        <w:tc>
          <w:tcPr>
            <w:tcW w:w="1450" w:type="pct"/>
            <w:gridSpan w:val="2"/>
            <w:tcBorders>
              <w:top w:val="single" w:sz="4" w:space="0" w:color="000000"/>
              <w:left w:val="single" w:sz="4" w:space="0" w:color="000000"/>
              <w:bottom w:val="single" w:sz="4" w:space="0" w:color="000000"/>
              <w:right w:val="single" w:sz="4" w:space="0" w:color="000000"/>
            </w:tcBorders>
            <w:vAlign w:val="center"/>
          </w:tcPr>
          <w:p w:rsidR="00976011" w:rsidRPr="00976011" w:rsidRDefault="00976011" w:rsidP="00FE3CD0">
            <w:pPr>
              <w:widowControl w:val="0"/>
              <w:spacing w:before="120" w:after="120"/>
              <w:jc w:val="center"/>
              <w:rPr>
                <w:rFonts w:eastAsia="Aptos"/>
                <w:b/>
                <w:lang w:val="pt-BR"/>
              </w:rPr>
            </w:pPr>
            <w:r w:rsidRPr="00976011">
              <w:rPr>
                <w:rFonts w:eastAsia="Aptos"/>
                <w:b/>
                <w:lang w:val="pt-BR"/>
              </w:rPr>
              <w:t>Tổng</w:t>
            </w:r>
          </w:p>
        </w:tc>
        <w:tc>
          <w:tcPr>
            <w:tcW w:w="1134" w:type="pct"/>
            <w:tcBorders>
              <w:top w:val="single" w:sz="4" w:space="0" w:color="000000"/>
              <w:left w:val="single" w:sz="4" w:space="0" w:color="000000"/>
              <w:bottom w:val="single" w:sz="4" w:space="0" w:color="000000"/>
              <w:right w:val="single" w:sz="4" w:space="0" w:color="000000"/>
            </w:tcBorders>
            <w:vAlign w:val="center"/>
          </w:tcPr>
          <w:p w:rsidR="00976011" w:rsidRPr="00976011" w:rsidRDefault="00976011" w:rsidP="00FE3CD0">
            <w:pPr>
              <w:widowControl w:val="0"/>
              <w:spacing w:before="120" w:after="120"/>
              <w:jc w:val="center"/>
              <w:rPr>
                <w:rFonts w:eastAsia="Aptos"/>
                <w:b/>
                <w:lang w:val="sv-SE"/>
              </w:rPr>
            </w:pPr>
            <w:r w:rsidRPr="00976011">
              <w:rPr>
                <w:rFonts w:eastAsia="Aptos"/>
                <w:b/>
                <w:lang w:val="pt-BR"/>
              </w:rPr>
              <w:t>190.000.000.000</w:t>
            </w:r>
          </w:p>
        </w:tc>
        <w:tc>
          <w:tcPr>
            <w:tcW w:w="569" w:type="pct"/>
            <w:tcBorders>
              <w:top w:val="single" w:sz="4" w:space="0" w:color="000000"/>
              <w:left w:val="single" w:sz="4" w:space="0" w:color="000000"/>
              <w:bottom w:val="single" w:sz="4" w:space="0" w:color="000000"/>
              <w:right w:val="single" w:sz="4" w:space="0" w:color="000000"/>
            </w:tcBorders>
            <w:vAlign w:val="center"/>
          </w:tcPr>
          <w:p w:rsidR="00976011" w:rsidRPr="00976011" w:rsidRDefault="00976011" w:rsidP="00FE3CD0">
            <w:pPr>
              <w:widowControl w:val="0"/>
              <w:spacing w:before="120" w:after="120"/>
              <w:jc w:val="center"/>
              <w:rPr>
                <w:rFonts w:eastAsia="Aptos"/>
                <w:b/>
              </w:rPr>
            </w:pPr>
          </w:p>
        </w:tc>
        <w:tc>
          <w:tcPr>
            <w:tcW w:w="538" w:type="pct"/>
            <w:tcBorders>
              <w:top w:val="single" w:sz="4" w:space="0" w:color="000000"/>
              <w:left w:val="single" w:sz="4" w:space="0" w:color="000000"/>
              <w:bottom w:val="single" w:sz="4" w:space="0" w:color="000000"/>
              <w:right w:val="single" w:sz="4" w:space="0" w:color="000000"/>
            </w:tcBorders>
            <w:vAlign w:val="center"/>
          </w:tcPr>
          <w:p w:rsidR="00976011" w:rsidRPr="00B42C72" w:rsidRDefault="00976011" w:rsidP="00FE3CD0">
            <w:pPr>
              <w:widowControl w:val="0"/>
              <w:spacing w:before="120" w:after="120"/>
              <w:jc w:val="center"/>
              <w:rPr>
                <w:rFonts w:eastAsia="Aptos"/>
                <w:b/>
              </w:rPr>
            </w:pPr>
            <w:r w:rsidRPr="00B42C72">
              <w:rPr>
                <w:rFonts w:eastAsia="Aptos"/>
                <w:b/>
              </w:rPr>
              <w:t>100%</w:t>
            </w:r>
          </w:p>
        </w:tc>
        <w:tc>
          <w:tcPr>
            <w:tcW w:w="661" w:type="pct"/>
            <w:tcBorders>
              <w:top w:val="single" w:sz="4" w:space="0" w:color="000000"/>
              <w:left w:val="single" w:sz="4" w:space="0" w:color="000000"/>
              <w:bottom w:val="single" w:sz="4" w:space="0" w:color="000000"/>
              <w:right w:val="single" w:sz="4" w:space="0" w:color="000000"/>
            </w:tcBorders>
            <w:vAlign w:val="center"/>
          </w:tcPr>
          <w:p w:rsidR="00976011" w:rsidRPr="00976011" w:rsidRDefault="00976011" w:rsidP="00FE3CD0">
            <w:pPr>
              <w:widowControl w:val="0"/>
              <w:spacing w:before="120" w:after="120"/>
              <w:jc w:val="center"/>
              <w:rPr>
                <w:rFonts w:eastAsia="Aptos"/>
              </w:rPr>
            </w:pPr>
          </w:p>
        </w:tc>
        <w:tc>
          <w:tcPr>
            <w:tcW w:w="649" w:type="pct"/>
            <w:tcBorders>
              <w:top w:val="single" w:sz="4" w:space="0" w:color="000000"/>
              <w:left w:val="single" w:sz="4" w:space="0" w:color="000000"/>
              <w:bottom w:val="single" w:sz="4" w:space="0" w:color="000000"/>
              <w:right w:val="single" w:sz="4" w:space="0" w:color="000000"/>
            </w:tcBorders>
            <w:vAlign w:val="center"/>
          </w:tcPr>
          <w:p w:rsidR="00976011" w:rsidRPr="00976011" w:rsidRDefault="00976011" w:rsidP="00FE3CD0">
            <w:pPr>
              <w:widowControl w:val="0"/>
              <w:spacing w:before="120" w:after="120"/>
              <w:jc w:val="center"/>
              <w:rPr>
                <w:rFonts w:eastAsia="Aptos"/>
              </w:rPr>
            </w:pPr>
          </w:p>
        </w:tc>
      </w:tr>
    </w:tbl>
    <w:p w:rsidR="00976011" w:rsidRPr="00976011" w:rsidRDefault="00976011" w:rsidP="00FE3CD0">
      <w:pPr>
        <w:widowControl w:val="0"/>
        <w:shd w:val="clear" w:color="auto" w:fill="FFFFFF"/>
        <w:spacing w:before="120" w:after="120"/>
        <w:ind w:firstLine="567"/>
        <w:jc w:val="both"/>
        <w:rPr>
          <w:rFonts w:eastAsia="Calibri"/>
        </w:rPr>
      </w:pPr>
      <w:r w:rsidRPr="00976011">
        <w:rPr>
          <w:rFonts w:eastAsia="Calibri"/>
        </w:rPr>
        <w:t xml:space="preserve">- Vốn huy động: 600.000.000.000 </w:t>
      </w:r>
      <w:r w:rsidR="00B42C72">
        <w:t>đồng</w:t>
      </w:r>
      <w:r w:rsidRPr="00976011">
        <w:rPr>
          <w:rFonts w:eastAsia="Calibri"/>
        </w:rPr>
        <w:t xml:space="preserve"> </w:t>
      </w:r>
      <w:r w:rsidRPr="00976011">
        <w:rPr>
          <w:rFonts w:eastAsia="Calibri"/>
          <w:i/>
        </w:rPr>
        <w:t>(Bằng chữ: Sáu trăm tỷ đồng).</w:t>
      </w:r>
    </w:p>
    <w:p w:rsidR="00976011" w:rsidRPr="00976011" w:rsidRDefault="00976011" w:rsidP="00332059">
      <w:pPr>
        <w:keepNext/>
        <w:keepLines/>
        <w:widowControl w:val="0"/>
        <w:spacing w:before="60" w:after="60"/>
        <w:ind w:firstLine="567"/>
        <w:jc w:val="both"/>
        <w:outlineLvl w:val="2"/>
        <w:rPr>
          <w:color w:val="000000"/>
          <w:szCs w:val="24"/>
        </w:rPr>
      </w:pPr>
      <w:r w:rsidRPr="00976011">
        <w:rPr>
          <w:b/>
          <w:color w:val="000000"/>
          <w:szCs w:val="24"/>
        </w:rPr>
        <w:t xml:space="preserve">2.6. Thời hạn hoạt động của dự án: </w:t>
      </w:r>
      <w:bookmarkStart w:id="8" w:name="bookmark65"/>
      <w:bookmarkEnd w:id="8"/>
      <w:r w:rsidRPr="00976011">
        <w:rPr>
          <w:color w:val="000000"/>
          <w:szCs w:val="24"/>
        </w:rPr>
        <w:t xml:space="preserve">50 năm (kể từ ngày được </w:t>
      </w:r>
      <w:r w:rsidR="00B42C72">
        <w:rPr>
          <w:color w:val="000000"/>
          <w:szCs w:val="24"/>
        </w:rPr>
        <w:t>cấp có thẩm quyền</w:t>
      </w:r>
      <w:r w:rsidRPr="00976011">
        <w:rPr>
          <w:color w:val="000000"/>
          <w:szCs w:val="24"/>
        </w:rPr>
        <w:t xml:space="preserve"> giao đất, cho thuê đất, cho phép chuyển mục đích sử dụng đất để thực hiện đầu tư dự án).</w:t>
      </w:r>
    </w:p>
    <w:p w:rsidR="00976011" w:rsidRPr="00976011" w:rsidRDefault="00976011" w:rsidP="00332059">
      <w:pPr>
        <w:keepNext/>
        <w:keepLines/>
        <w:widowControl w:val="0"/>
        <w:spacing w:before="60" w:after="60"/>
        <w:ind w:firstLine="567"/>
        <w:jc w:val="both"/>
        <w:outlineLvl w:val="2"/>
        <w:rPr>
          <w:b/>
          <w:color w:val="000000"/>
          <w:szCs w:val="24"/>
        </w:rPr>
      </w:pPr>
      <w:r w:rsidRPr="00976011">
        <w:rPr>
          <w:b/>
          <w:color w:val="000000"/>
          <w:szCs w:val="24"/>
        </w:rPr>
        <w:t xml:space="preserve">2.7. Tiến độ thực hiện dự án: </w:t>
      </w:r>
    </w:p>
    <w:p w:rsidR="00976011" w:rsidRPr="00976011" w:rsidRDefault="00976011" w:rsidP="00332059">
      <w:pPr>
        <w:widowControl w:val="0"/>
        <w:tabs>
          <w:tab w:val="left" w:pos="942"/>
        </w:tabs>
        <w:spacing w:before="60" w:after="60"/>
        <w:ind w:firstLine="567"/>
        <w:jc w:val="both"/>
        <w:rPr>
          <w:color w:val="000000"/>
        </w:rPr>
      </w:pPr>
      <w:bookmarkStart w:id="9" w:name="bookmark66"/>
      <w:bookmarkEnd w:id="9"/>
      <w:r w:rsidRPr="00976011">
        <w:rPr>
          <w:color w:val="000000"/>
        </w:rPr>
        <w:t xml:space="preserve">- Hoàn thiện các thủ tục đất đai, môi trường, xây dựng và các thủ tục có liên quan để triển khai đầu tư xây dựng: Chậm nhất hoàn thành </w:t>
      </w:r>
      <w:r w:rsidR="00B42C72">
        <w:rPr>
          <w:color w:val="000000"/>
        </w:rPr>
        <w:t>q</w:t>
      </w:r>
      <w:r w:rsidRPr="00976011">
        <w:rPr>
          <w:color w:val="000000"/>
        </w:rPr>
        <w:t>uý IV/2026.</w:t>
      </w:r>
    </w:p>
    <w:p w:rsidR="00976011" w:rsidRDefault="00976011" w:rsidP="00332059">
      <w:pPr>
        <w:widowControl w:val="0"/>
        <w:tabs>
          <w:tab w:val="left" w:pos="942"/>
        </w:tabs>
        <w:spacing w:before="60" w:after="60"/>
        <w:ind w:firstLine="567"/>
        <w:jc w:val="both"/>
        <w:rPr>
          <w:color w:val="000000"/>
        </w:rPr>
      </w:pPr>
      <w:r w:rsidRPr="00976011">
        <w:rPr>
          <w:color w:val="000000"/>
        </w:rPr>
        <w:t xml:space="preserve">- Đầu tư xây dựng và đưa các hạng mục đầu tư xây dựng vào hoạt động: Chậm nhất </w:t>
      </w:r>
      <w:r w:rsidR="00B42C72">
        <w:rPr>
          <w:color w:val="000000"/>
        </w:rPr>
        <w:t>q</w:t>
      </w:r>
      <w:r w:rsidRPr="00976011">
        <w:rPr>
          <w:color w:val="000000"/>
        </w:rPr>
        <w:t>uý IV/2027.</w:t>
      </w:r>
    </w:p>
    <w:p w:rsidR="00FE3CD0" w:rsidRPr="00E20E93" w:rsidRDefault="00FE3CD0" w:rsidP="00332059">
      <w:pPr>
        <w:widowControl w:val="0"/>
        <w:spacing w:before="60" w:after="60"/>
        <w:ind w:firstLine="567"/>
        <w:jc w:val="both"/>
        <w:rPr>
          <w:b/>
        </w:rPr>
      </w:pPr>
      <w:r>
        <w:rPr>
          <w:b/>
        </w:rPr>
        <w:t>2.8</w:t>
      </w:r>
      <w:r w:rsidRPr="00E20E93">
        <w:rPr>
          <w:b/>
        </w:rPr>
        <w:t>. Ưu đãi, hỗ trợ đầu tư và điều kiện áp dụng</w:t>
      </w:r>
    </w:p>
    <w:p w:rsidR="00FE3CD0" w:rsidRPr="00E20E93" w:rsidRDefault="00FE3CD0" w:rsidP="00332059">
      <w:pPr>
        <w:widowControl w:val="0"/>
        <w:spacing w:before="60" w:after="60"/>
        <w:ind w:firstLine="567"/>
        <w:jc w:val="both"/>
        <w:rPr>
          <w:color w:val="000000"/>
          <w:lang w:val="sv-SE"/>
        </w:rPr>
      </w:pPr>
      <w:r w:rsidRPr="00E20E93">
        <w:rPr>
          <w:bCs/>
          <w:color w:val="000000"/>
          <w:lang w:val="pt-BR"/>
        </w:rPr>
        <w:t xml:space="preserve">- Nhà đầu tư được hưởng chính sách ưu đãi theo quy định </w:t>
      </w:r>
      <w:r w:rsidRPr="00E20E93">
        <w:rPr>
          <w:color w:val="000000"/>
          <w:lang w:val="vi-VN"/>
        </w:rPr>
        <w:t>hiện hành của Trung ương</w:t>
      </w:r>
      <w:r w:rsidRPr="00E20E93">
        <w:rPr>
          <w:color w:val="000000"/>
          <w:lang w:val="sv-SE"/>
        </w:rPr>
        <w:t xml:space="preserve"> và địa phương.</w:t>
      </w:r>
    </w:p>
    <w:p w:rsidR="00FE3CD0" w:rsidRPr="00B42C72" w:rsidRDefault="00FE3CD0" w:rsidP="00332059">
      <w:pPr>
        <w:widowControl w:val="0"/>
        <w:spacing w:before="60" w:after="60"/>
        <w:ind w:firstLine="567"/>
        <w:jc w:val="both"/>
        <w:rPr>
          <w:bCs/>
          <w:color w:val="000000"/>
          <w:lang w:val="pt-BR"/>
        </w:rPr>
      </w:pPr>
      <w:r w:rsidRPr="00B42C72">
        <w:rPr>
          <w:bCs/>
          <w:color w:val="000000"/>
          <w:lang w:val="pt-BR"/>
        </w:rPr>
        <w:t xml:space="preserve">- Để được hưởng các ưu đãi </w:t>
      </w:r>
      <w:r w:rsidRPr="00B42C72">
        <w:rPr>
          <w:bCs/>
          <w:color w:val="000000"/>
          <w:lang w:val="vi-VN"/>
        </w:rPr>
        <w:t>đầu tư theo quy định</w:t>
      </w:r>
      <w:r w:rsidRPr="00B42C72">
        <w:rPr>
          <w:bCs/>
          <w:color w:val="000000"/>
          <w:lang w:val="pt-BR"/>
        </w:rPr>
        <w:t xml:space="preserve">, </w:t>
      </w:r>
      <w:r w:rsidR="00B42C72" w:rsidRPr="00B42C72">
        <w:rPr>
          <w:bCs/>
          <w:color w:val="000000"/>
          <w:lang w:val="pt-BR"/>
        </w:rPr>
        <w:t>n</w:t>
      </w:r>
      <w:r w:rsidRPr="00B42C72">
        <w:rPr>
          <w:bCs/>
          <w:color w:val="000000"/>
          <w:lang w:val="pt-BR"/>
        </w:rPr>
        <w:t>hà đầu tư phải thực hiện đúng và đầy đủ các điều kiện theo tiến độ dự án đã đăng ký, các quy định về môi trường, đất đai, xây dựng và các quy định khác của pháp luật có liên quan.</w:t>
      </w:r>
    </w:p>
    <w:p w:rsidR="009F24D7" w:rsidRDefault="009F24D7" w:rsidP="00332059">
      <w:pPr>
        <w:widowControl w:val="0"/>
        <w:spacing w:before="60" w:after="60"/>
        <w:ind w:right="-29" w:firstLine="567"/>
        <w:jc w:val="both"/>
        <w:rPr>
          <w:b/>
          <w:bCs/>
          <w:lang w:val="sv-SE"/>
        </w:rPr>
      </w:pPr>
      <w:r w:rsidRPr="00E20E93">
        <w:rPr>
          <w:b/>
          <w:bCs/>
          <w:lang w:val="sv-SE"/>
        </w:rPr>
        <w:t>Điều 2. Tổ chức thực hiện</w:t>
      </w:r>
    </w:p>
    <w:p w:rsidR="00976011" w:rsidRPr="00976011" w:rsidRDefault="00976011" w:rsidP="00332059">
      <w:pPr>
        <w:widowControl w:val="0"/>
        <w:shd w:val="clear" w:color="auto" w:fill="FFFFFF"/>
        <w:spacing w:before="60" w:after="60"/>
        <w:ind w:firstLine="567"/>
        <w:jc w:val="both"/>
        <w:rPr>
          <w:rFonts w:eastAsia="SimSun"/>
          <w:b/>
          <w:color w:val="000000"/>
          <w:lang w:val="sv-SE"/>
        </w:rPr>
      </w:pPr>
      <w:r w:rsidRPr="00976011">
        <w:rPr>
          <w:rFonts w:eastAsia="SimSun"/>
          <w:b/>
          <w:color w:val="000000"/>
          <w:lang w:val="sv-SE"/>
        </w:rPr>
        <w:t>2.</w:t>
      </w:r>
      <w:r>
        <w:rPr>
          <w:rFonts w:eastAsia="SimSun"/>
          <w:b/>
          <w:color w:val="000000"/>
          <w:lang w:val="sv-SE"/>
        </w:rPr>
        <w:t>1</w:t>
      </w:r>
      <w:r w:rsidRPr="00976011">
        <w:rPr>
          <w:rFonts w:eastAsia="SimSun"/>
          <w:b/>
          <w:color w:val="000000"/>
          <w:lang w:val="sv-SE"/>
        </w:rPr>
        <w:t xml:space="preserve">. </w:t>
      </w:r>
      <w:r w:rsidRPr="00976011">
        <w:rPr>
          <w:rFonts w:eastAsia="SimSun"/>
          <w:b/>
          <w:spacing w:val="-2"/>
          <w:lang w:val="sv-SE"/>
        </w:rPr>
        <w:t xml:space="preserve">Đề nghị </w:t>
      </w:r>
      <w:r w:rsidRPr="00976011">
        <w:rPr>
          <w:rFonts w:eastAsia="SimSun"/>
          <w:b/>
          <w:color w:val="000000"/>
          <w:lang w:val="sv-SE"/>
        </w:rPr>
        <w:t xml:space="preserve">Công ty Cổ phần Điện mặt trời Ea Pô 1 </w:t>
      </w:r>
      <w:r w:rsidRPr="00976011">
        <w:rPr>
          <w:rFonts w:eastAsia="SimSun"/>
          <w:b/>
          <w:spacing w:val="-2"/>
          <w:lang w:val="sv-SE"/>
        </w:rPr>
        <w:t>(</w:t>
      </w:r>
      <w:r w:rsidR="00B42C72">
        <w:rPr>
          <w:rFonts w:eastAsia="SimSun"/>
          <w:b/>
          <w:spacing w:val="-2"/>
          <w:lang w:val="sv-SE"/>
        </w:rPr>
        <w:t>n</w:t>
      </w:r>
      <w:r w:rsidRPr="00976011">
        <w:rPr>
          <w:rFonts w:eastAsia="SimSun"/>
          <w:b/>
          <w:spacing w:val="-2"/>
          <w:lang w:val="sv-SE"/>
        </w:rPr>
        <w:t>hà đầu tư)</w:t>
      </w:r>
    </w:p>
    <w:p w:rsidR="00976011" w:rsidRPr="00976011" w:rsidRDefault="00976011" w:rsidP="00332059">
      <w:pPr>
        <w:widowControl w:val="0"/>
        <w:spacing w:before="60" w:after="60"/>
        <w:ind w:right="-29" w:firstLine="567"/>
        <w:jc w:val="both"/>
        <w:rPr>
          <w:lang w:val="pt-BR"/>
        </w:rPr>
      </w:pPr>
      <w:r w:rsidRPr="00976011">
        <w:rPr>
          <w:lang w:val="pt-BR"/>
        </w:rPr>
        <w:t>Sau khi dự án được chấp thuận chủ trương đầu tư đồng thời chấp thuận nhà đầu tư, đề nghị Công ty Cổ phần Điện mặt trời Ea Pô 1 phải thực hiện các nội dung sau:</w:t>
      </w:r>
    </w:p>
    <w:p w:rsidR="00976011" w:rsidRPr="00976011" w:rsidRDefault="00976011" w:rsidP="00332059">
      <w:pPr>
        <w:widowControl w:val="0"/>
        <w:spacing w:before="60" w:after="60"/>
        <w:ind w:right="-29" w:firstLine="567"/>
        <w:jc w:val="both"/>
        <w:rPr>
          <w:lang w:val="pt-BR"/>
        </w:rPr>
      </w:pPr>
      <w:r w:rsidRPr="00976011">
        <w:rPr>
          <w:lang w:val="pt-BR"/>
        </w:rPr>
        <w:lastRenderedPageBreak/>
        <w:t>- Tuân thủ các quy định của pháp luật về quy hoạch, đầu tư, xây dựng, đất đai, bảo vệ môi trường, khoáng sản, lao động, thuế, điện lực, hành lang an toàn đường bộ và quy định của pháp luật có liên quan. Chỉ triển khai đầu tư dự án khi đảm bảo các điều kiện theo quy định của pháp luật.</w:t>
      </w:r>
    </w:p>
    <w:p w:rsidR="00976011" w:rsidRPr="00976011" w:rsidRDefault="00976011" w:rsidP="00332059">
      <w:pPr>
        <w:widowControl w:val="0"/>
        <w:spacing w:before="60" w:after="60"/>
        <w:ind w:right="-29" w:firstLine="567"/>
        <w:jc w:val="both"/>
        <w:rPr>
          <w:lang w:val="pt-BR"/>
        </w:rPr>
      </w:pPr>
      <w:r w:rsidRPr="00976011">
        <w:rPr>
          <w:lang w:val="pt-BR"/>
        </w:rPr>
        <w:t xml:space="preserve">- Quá trình triển khai thực hiện dự án, phối hợp chặt chẽ với các </w:t>
      </w:r>
      <w:r w:rsidR="00B42C72">
        <w:rPr>
          <w:lang w:val="pt-BR"/>
        </w:rPr>
        <w:t>s</w:t>
      </w:r>
      <w:r w:rsidRPr="00976011">
        <w:rPr>
          <w:lang w:val="pt-BR"/>
        </w:rPr>
        <w:t>ở</w:t>
      </w:r>
      <w:r w:rsidR="00B42C72">
        <w:rPr>
          <w:lang w:val="pt-BR"/>
        </w:rPr>
        <w:t>,</w:t>
      </w:r>
      <w:r w:rsidRPr="00976011">
        <w:rPr>
          <w:lang w:val="pt-BR"/>
        </w:rPr>
        <w:t xml:space="preserve"> ngành có liên quan và chính quyền địa phương bảo đảm an ninh trật tự, quốc phòng và giải quyết triệt để các </w:t>
      </w:r>
      <w:r w:rsidR="00B42C72">
        <w:rPr>
          <w:lang w:val="pt-BR"/>
        </w:rPr>
        <w:t xml:space="preserve">cấn đề </w:t>
      </w:r>
      <w:r w:rsidRPr="00976011">
        <w:rPr>
          <w:lang w:val="pt-BR"/>
        </w:rPr>
        <w:t xml:space="preserve">phát sinh tiềm ẩn nguy cơ mất an ninh, trật tự (nếu có) theo quy định. </w:t>
      </w:r>
    </w:p>
    <w:p w:rsidR="00976011" w:rsidRPr="00976011" w:rsidRDefault="00976011" w:rsidP="00332059">
      <w:pPr>
        <w:widowControl w:val="0"/>
        <w:spacing w:before="60" w:after="60"/>
        <w:ind w:right="-29" w:firstLine="567"/>
        <w:jc w:val="both"/>
        <w:rPr>
          <w:lang w:val="pt-BR"/>
        </w:rPr>
      </w:pPr>
      <w:r w:rsidRPr="00976011">
        <w:rPr>
          <w:lang w:val="pt-BR"/>
        </w:rPr>
        <w:t>- Thực hiện bảo đảm thực hiện dự án đầu tư theo quy định tại Điều 30 Luật Đầu tư năm 2025; Điều 26, Điều 27 Nghị định số 96/2026/NĐ-CP ngày 31</w:t>
      </w:r>
      <w:r w:rsidR="00B42C72">
        <w:rPr>
          <w:lang w:val="pt-BR"/>
        </w:rPr>
        <w:t xml:space="preserve"> tháng 3 năm </w:t>
      </w:r>
      <w:r w:rsidRPr="00976011">
        <w:rPr>
          <w:lang w:val="pt-BR"/>
        </w:rPr>
        <w:t>2026 của Chính phủ quy định chi tiết và hướng dẫn thi hành một số điều của Luật Đầu tư.</w:t>
      </w:r>
    </w:p>
    <w:p w:rsidR="00976011" w:rsidRPr="00976011" w:rsidRDefault="00976011" w:rsidP="00332059">
      <w:pPr>
        <w:widowControl w:val="0"/>
        <w:spacing w:before="60" w:after="60"/>
        <w:ind w:right="-29" w:firstLine="567"/>
        <w:jc w:val="both"/>
        <w:rPr>
          <w:lang w:val="pt-BR"/>
        </w:rPr>
      </w:pPr>
      <w:r w:rsidRPr="00976011">
        <w:rPr>
          <w:lang w:val="pt-BR"/>
        </w:rPr>
        <w:t xml:space="preserve">- Thực hiện đầy đủ nghĩa vụ tài chính với nhà nước theo quy định. </w:t>
      </w:r>
    </w:p>
    <w:p w:rsidR="00976011" w:rsidRPr="00976011" w:rsidRDefault="00976011" w:rsidP="00332059">
      <w:pPr>
        <w:widowControl w:val="0"/>
        <w:spacing w:before="60" w:after="60"/>
        <w:ind w:right="-29" w:firstLine="567"/>
        <w:jc w:val="both"/>
        <w:rPr>
          <w:lang w:val="pt-BR"/>
        </w:rPr>
      </w:pPr>
      <w:r w:rsidRPr="00976011">
        <w:rPr>
          <w:lang w:val="pt-BR"/>
        </w:rPr>
        <w:t xml:space="preserve">- Thực hiện chế độ báo cáo định kỳ theo quy định tại Điều 47 Luật Đầu tư năm 2025. Đồng thời, hàng quý, hàng năm </w:t>
      </w:r>
      <w:r w:rsidR="00B42C72">
        <w:rPr>
          <w:lang w:val="pt-BR"/>
        </w:rPr>
        <w:t>n</w:t>
      </w:r>
      <w:r w:rsidRPr="00976011">
        <w:rPr>
          <w:lang w:val="pt-BR"/>
        </w:rPr>
        <w:t>hà đầu tư báo cáo định kỳ tiến độ góp vốn, huy động vốn thực hiện dự án.</w:t>
      </w:r>
    </w:p>
    <w:p w:rsidR="00976011" w:rsidRPr="00976011" w:rsidRDefault="00976011" w:rsidP="00332059">
      <w:pPr>
        <w:widowControl w:val="0"/>
        <w:spacing w:before="60" w:after="60"/>
        <w:ind w:right="-29" w:firstLine="567"/>
        <w:jc w:val="both"/>
        <w:rPr>
          <w:lang w:val="pt-BR"/>
        </w:rPr>
      </w:pPr>
      <w:r w:rsidRPr="00976011">
        <w:rPr>
          <w:lang w:val="pt-BR"/>
        </w:rPr>
        <w:t xml:space="preserve">- Quá trình triển khai thực hiện dự án, trường hợp phát hiện có công trình di sản văn hóa phi vật thể thì </w:t>
      </w:r>
      <w:r w:rsidR="00B42C72">
        <w:rPr>
          <w:lang w:val="pt-BR"/>
        </w:rPr>
        <w:t>n</w:t>
      </w:r>
      <w:r w:rsidRPr="00976011">
        <w:rPr>
          <w:lang w:val="pt-BR"/>
        </w:rPr>
        <w:t>hà đầu tư phải kịp thời báo cáo ngay cho cơ quan có thẩm quyền và phải tuân thủ đúng các quy định của pháp luật về di sản văn hóa.</w:t>
      </w:r>
    </w:p>
    <w:p w:rsidR="00976011" w:rsidRPr="00976011" w:rsidRDefault="00976011" w:rsidP="00332059">
      <w:pPr>
        <w:widowControl w:val="0"/>
        <w:spacing w:before="60" w:after="60"/>
        <w:ind w:right="-29" w:firstLine="567"/>
        <w:jc w:val="both"/>
        <w:rPr>
          <w:lang w:val="pt-BR"/>
        </w:rPr>
      </w:pPr>
      <w:r w:rsidRPr="00976011">
        <w:rPr>
          <w:lang w:val="pt-BR"/>
        </w:rPr>
        <w:t xml:space="preserve">- Việc chấm dứt hoạt động đầu tư của dự án theo quy định của Luật Đầu tư </w:t>
      </w:r>
      <w:r w:rsidR="00B42C72">
        <w:rPr>
          <w:lang w:val="pt-BR"/>
        </w:rPr>
        <w:t xml:space="preserve">năm 2025 </w:t>
      </w:r>
      <w:r w:rsidRPr="00976011">
        <w:rPr>
          <w:lang w:val="pt-BR"/>
        </w:rPr>
        <w:t xml:space="preserve">và pháp luật có liên quan, mọi phí tổn (nếu có) </w:t>
      </w:r>
      <w:r w:rsidR="00B42C72">
        <w:rPr>
          <w:lang w:val="pt-BR"/>
        </w:rPr>
        <w:t>n</w:t>
      </w:r>
      <w:r w:rsidRPr="00976011">
        <w:rPr>
          <w:lang w:val="pt-BR"/>
        </w:rPr>
        <w:t xml:space="preserve">hà đầu tư tự chịu trách nhiệm khi </w:t>
      </w:r>
      <w:r w:rsidR="00B42C72">
        <w:rPr>
          <w:lang w:val="pt-BR"/>
        </w:rPr>
        <w:t>n</w:t>
      </w:r>
      <w:r w:rsidRPr="00976011">
        <w:rPr>
          <w:lang w:val="pt-BR"/>
        </w:rPr>
        <w:t xml:space="preserve">hà đầu tư vi phạm quy định của Luật Đầu tư và pháp luật có liên quan, </w:t>
      </w:r>
      <w:r w:rsidR="00B42C72">
        <w:rPr>
          <w:lang w:val="pt-BR"/>
        </w:rPr>
        <w:t>Ủy ban nhân dân</w:t>
      </w:r>
      <w:r w:rsidRPr="00976011">
        <w:rPr>
          <w:lang w:val="pt-BR"/>
        </w:rPr>
        <w:t xml:space="preserve"> tỉnh Lâm Đồng không xem xét, giải quyết.</w:t>
      </w:r>
    </w:p>
    <w:p w:rsidR="00976011" w:rsidRPr="00976011" w:rsidRDefault="00976011" w:rsidP="00332059">
      <w:pPr>
        <w:widowControl w:val="0"/>
        <w:spacing w:before="60" w:after="60"/>
        <w:ind w:right="-29" w:firstLine="567"/>
        <w:jc w:val="both"/>
        <w:rPr>
          <w:lang w:val="pt-BR"/>
        </w:rPr>
      </w:pPr>
      <w:r w:rsidRPr="00976011">
        <w:rPr>
          <w:lang w:val="pt-BR"/>
        </w:rPr>
        <w:t xml:space="preserve">- Chịu trách nhiệm toàn diện trước pháp luật về tính hợp pháp, chính xác, trung thực của nội dung hồ sơ và các </w:t>
      </w:r>
      <w:r w:rsidR="00B42C72">
        <w:rPr>
          <w:lang w:val="pt-BR"/>
        </w:rPr>
        <w:t>V</w:t>
      </w:r>
      <w:r w:rsidRPr="00976011">
        <w:rPr>
          <w:lang w:val="pt-BR"/>
        </w:rPr>
        <w:t xml:space="preserve">ăn </w:t>
      </w:r>
      <w:r w:rsidR="00B42C72">
        <w:rPr>
          <w:lang w:val="pt-BR"/>
        </w:rPr>
        <w:t xml:space="preserve">bản </w:t>
      </w:r>
      <w:r w:rsidRPr="00976011">
        <w:rPr>
          <w:lang w:val="pt-BR"/>
        </w:rPr>
        <w:t xml:space="preserve">gửi cơ quan nhà nước có thẩm quyền theo quy định. Trường hợp các cơ quan chức năng có thẩm quyền phát hiện, xác minh nội dung hồ sơ, tài liệu cung cấp không chính xác và trung thực, </w:t>
      </w:r>
      <w:r w:rsidR="00B42C72">
        <w:rPr>
          <w:lang w:val="pt-BR"/>
        </w:rPr>
        <w:t>nhà đầu tư</w:t>
      </w:r>
      <w:r w:rsidRPr="00976011">
        <w:rPr>
          <w:lang w:val="pt-BR"/>
        </w:rPr>
        <w:t xml:space="preserve"> phải chịu trách nhiệm và bị xử lý theo quy định của pháp luật.</w:t>
      </w:r>
    </w:p>
    <w:p w:rsidR="00976011" w:rsidRPr="00976011" w:rsidRDefault="00976011" w:rsidP="00332059">
      <w:pPr>
        <w:widowControl w:val="0"/>
        <w:spacing w:before="60" w:after="60"/>
        <w:ind w:right="-29" w:firstLine="567"/>
        <w:jc w:val="both"/>
        <w:rPr>
          <w:lang w:val="pt-BR"/>
        </w:rPr>
      </w:pPr>
      <w:r w:rsidRPr="00976011">
        <w:rPr>
          <w:lang w:val="pt-BR"/>
        </w:rPr>
        <w:t>- Trong quá triển khai thực hiện dự án, trường hợp phát hiện có khoáng sản đề nghị Nhà đầu tư phải báo cáo cấp thẩm quyền theo quy định pháp luật.</w:t>
      </w:r>
    </w:p>
    <w:p w:rsidR="00976011" w:rsidRPr="00976011" w:rsidRDefault="00976011" w:rsidP="00332059">
      <w:pPr>
        <w:widowControl w:val="0"/>
        <w:spacing w:before="60" w:after="60"/>
        <w:ind w:right="-29" w:firstLine="567"/>
        <w:jc w:val="both"/>
        <w:rPr>
          <w:lang w:val="pt-BR"/>
        </w:rPr>
      </w:pPr>
      <w:r w:rsidRPr="00976011">
        <w:rPr>
          <w:lang w:val="pt-BR"/>
        </w:rPr>
        <w:t>- Để bảo đảm an toàn cho các hoạt động bay, công trình phải được thực hiện cảnh báo hàng không theo quy định tại Điều 18 Nghị định số 62/2025/NĐ-CP ngày 04</w:t>
      </w:r>
      <w:r w:rsidR="00B42C72">
        <w:rPr>
          <w:lang w:val="pt-BR"/>
        </w:rPr>
        <w:t xml:space="preserve"> tháng 3 năm </w:t>
      </w:r>
      <w:r w:rsidRPr="00976011">
        <w:rPr>
          <w:lang w:val="pt-BR"/>
        </w:rPr>
        <w:t>2025 của Chính phủ quy định chi tiết thi hành Luật Điện lực về bảo vệ công trình điện lực và an toàn trong lĩnh vực điện lực.</w:t>
      </w:r>
    </w:p>
    <w:p w:rsidR="00976011" w:rsidRPr="00BE254C" w:rsidRDefault="00976011" w:rsidP="00332059">
      <w:pPr>
        <w:widowControl w:val="0"/>
        <w:spacing w:before="60" w:after="60"/>
        <w:ind w:right="-29" w:firstLine="567"/>
        <w:jc w:val="both"/>
        <w:rPr>
          <w:spacing w:val="-2"/>
          <w:lang w:val="pt-BR"/>
        </w:rPr>
      </w:pPr>
      <w:r w:rsidRPr="00BE254C">
        <w:rPr>
          <w:spacing w:val="-2"/>
          <w:lang w:val="pt-BR"/>
        </w:rPr>
        <w:t>- Thực hiện nghiêm quy định tại Mục 2, Chương II Nghị định số 32/2016/NĐ-CP ngày 06</w:t>
      </w:r>
      <w:r w:rsidR="00B42C72" w:rsidRPr="00BE254C">
        <w:rPr>
          <w:spacing w:val="-2"/>
          <w:lang w:val="pt-BR"/>
        </w:rPr>
        <w:t xml:space="preserve"> tháng 5 năm </w:t>
      </w:r>
      <w:r w:rsidRPr="00BE254C">
        <w:rPr>
          <w:spacing w:val="-2"/>
          <w:lang w:val="pt-BR"/>
        </w:rPr>
        <w:t>2025 của Chính phủ về quản lý độ cao chướng ngại vật hàng không và các trận địa quản lý, bảo vệ vùng trời Việt Nam; Điều 1 Nghị định số 101/2025/NĐ-CP ngày 09</w:t>
      </w:r>
      <w:r w:rsidR="00B42C72" w:rsidRPr="00BE254C">
        <w:rPr>
          <w:spacing w:val="-2"/>
          <w:lang w:val="pt-BR"/>
        </w:rPr>
        <w:t xml:space="preserve"> tháng 5 năm </w:t>
      </w:r>
      <w:r w:rsidRPr="00BE254C">
        <w:rPr>
          <w:spacing w:val="-2"/>
          <w:lang w:val="pt-BR"/>
        </w:rPr>
        <w:t>2025 của Chính phủ.</w:t>
      </w:r>
    </w:p>
    <w:p w:rsidR="00976011" w:rsidRPr="00976011" w:rsidRDefault="00976011" w:rsidP="00332059">
      <w:pPr>
        <w:widowControl w:val="0"/>
        <w:spacing w:before="60" w:after="60"/>
        <w:ind w:right="-29" w:firstLine="567"/>
        <w:jc w:val="both"/>
        <w:rPr>
          <w:rFonts w:eastAsia="SimSun"/>
          <w:b/>
          <w:color w:val="000000"/>
          <w:lang w:val="sv-SE"/>
        </w:rPr>
      </w:pPr>
      <w:r>
        <w:rPr>
          <w:rFonts w:eastAsia="SimSun"/>
          <w:b/>
          <w:color w:val="000000"/>
          <w:lang w:val="sv-SE"/>
        </w:rPr>
        <w:t>2.2</w:t>
      </w:r>
      <w:r w:rsidRPr="00976011">
        <w:rPr>
          <w:rFonts w:eastAsia="SimSun"/>
          <w:b/>
          <w:color w:val="000000"/>
          <w:lang w:val="sv-SE"/>
        </w:rPr>
        <w:t xml:space="preserve">. Trách nhiệm của các </w:t>
      </w:r>
      <w:r w:rsidR="005364DD">
        <w:rPr>
          <w:rFonts w:eastAsia="SimSun"/>
          <w:b/>
          <w:color w:val="000000"/>
          <w:lang w:val="sv-SE"/>
        </w:rPr>
        <w:t>s</w:t>
      </w:r>
      <w:bookmarkStart w:id="10" w:name="_GoBack"/>
      <w:bookmarkEnd w:id="10"/>
      <w:r w:rsidRPr="00976011">
        <w:rPr>
          <w:rFonts w:eastAsia="SimSun"/>
          <w:b/>
          <w:color w:val="000000"/>
          <w:lang w:val="sv-SE"/>
        </w:rPr>
        <w:t>ở, ngành, địa phương liên quan</w:t>
      </w:r>
    </w:p>
    <w:p w:rsidR="00976011" w:rsidRPr="00976011" w:rsidRDefault="00976011" w:rsidP="00332059">
      <w:pPr>
        <w:widowControl w:val="0"/>
        <w:spacing w:before="60" w:after="60"/>
        <w:ind w:right="-29" w:firstLine="567"/>
        <w:jc w:val="both"/>
        <w:rPr>
          <w:rFonts w:eastAsia="SimSun"/>
          <w:color w:val="000000"/>
          <w:lang w:val="sv-SE"/>
        </w:rPr>
      </w:pPr>
      <w:r w:rsidRPr="00976011">
        <w:rPr>
          <w:rFonts w:eastAsia="SimSun"/>
          <w:color w:val="000000"/>
          <w:lang w:val="sv-SE"/>
        </w:rPr>
        <w:t>- Giao Sở Tài chính chủ động kiểm tra việc chấp hành quy định của pháp luật về đầu tư, doanh nghiệp liên quan đến hoạt động của dự án đầu tư và nhà đầu tư.</w:t>
      </w:r>
    </w:p>
    <w:p w:rsidR="00976011" w:rsidRPr="00BE254C" w:rsidRDefault="00976011" w:rsidP="00332059">
      <w:pPr>
        <w:widowControl w:val="0"/>
        <w:spacing w:before="60" w:after="60"/>
        <w:ind w:right="-29" w:firstLine="567"/>
        <w:jc w:val="both"/>
        <w:rPr>
          <w:rFonts w:eastAsia="SimSun"/>
          <w:color w:val="000000"/>
          <w:spacing w:val="-2"/>
          <w:lang w:val="sv-SE"/>
        </w:rPr>
      </w:pPr>
      <w:r w:rsidRPr="00BE254C">
        <w:rPr>
          <w:rFonts w:eastAsia="SimSun"/>
          <w:color w:val="000000"/>
          <w:spacing w:val="-2"/>
          <w:lang w:val="sv-SE"/>
        </w:rPr>
        <w:t xml:space="preserve">- Giao Sở Nông nghiệp và Môi trường chủ động kiểm tra việc chấp hành quy </w:t>
      </w:r>
      <w:r w:rsidRPr="00BE254C">
        <w:rPr>
          <w:rFonts w:eastAsia="SimSun"/>
          <w:color w:val="000000"/>
          <w:spacing w:val="-2"/>
          <w:lang w:val="sv-SE"/>
        </w:rPr>
        <w:lastRenderedPageBreak/>
        <w:t xml:space="preserve">định của pháp luật về đất đai, </w:t>
      </w:r>
      <w:r w:rsidR="00BE254C" w:rsidRPr="00BE254C">
        <w:rPr>
          <w:rFonts w:eastAsia="SimSun"/>
          <w:color w:val="000000"/>
          <w:spacing w:val="-2"/>
          <w:lang w:val="sv-SE"/>
        </w:rPr>
        <w:t>tài nguyên</w:t>
      </w:r>
      <w:r w:rsidR="00BE254C" w:rsidRPr="00BE254C">
        <w:rPr>
          <w:rFonts w:eastAsia="SimSun"/>
          <w:color w:val="000000"/>
          <w:spacing w:val="-2"/>
          <w:lang w:val="sv-SE"/>
        </w:rPr>
        <w:t>,</w:t>
      </w:r>
      <w:r w:rsidR="00BE254C" w:rsidRPr="00BE254C">
        <w:rPr>
          <w:rFonts w:eastAsia="SimSun"/>
          <w:color w:val="000000"/>
          <w:spacing w:val="-2"/>
          <w:lang w:val="sv-SE"/>
        </w:rPr>
        <w:t xml:space="preserve"> </w:t>
      </w:r>
      <w:r w:rsidRPr="00BE254C">
        <w:rPr>
          <w:rFonts w:eastAsia="SimSun"/>
          <w:color w:val="000000"/>
          <w:spacing w:val="-2"/>
          <w:lang w:val="sv-SE"/>
        </w:rPr>
        <w:t>bảo vệ môi trườ</w:t>
      </w:r>
      <w:r w:rsidR="00BE254C" w:rsidRPr="00BE254C">
        <w:rPr>
          <w:rFonts w:eastAsia="SimSun"/>
          <w:color w:val="000000"/>
          <w:spacing w:val="-2"/>
          <w:lang w:val="sv-SE"/>
        </w:rPr>
        <w:t>ng</w:t>
      </w:r>
      <w:r w:rsidRPr="00BE254C">
        <w:rPr>
          <w:rFonts w:eastAsia="SimSun"/>
          <w:color w:val="000000"/>
          <w:spacing w:val="-2"/>
          <w:lang w:val="sv-SE"/>
        </w:rPr>
        <w:t>, khoáng sản và các lĩnh vực khác thuộc phạm vi quản lý liên quan đến hoạt động của dự án đầu tư.</w:t>
      </w:r>
    </w:p>
    <w:p w:rsidR="00976011" w:rsidRPr="00976011" w:rsidRDefault="00976011" w:rsidP="00332059">
      <w:pPr>
        <w:widowControl w:val="0"/>
        <w:spacing w:before="60" w:after="60"/>
        <w:ind w:right="-29" w:firstLine="567"/>
        <w:jc w:val="both"/>
        <w:rPr>
          <w:rFonts w:eastAsia="SimSun"/>
          <w:color w:val="000000"/>
          <w:lang w:val="sv-SE"/>
        </w:rPr>
      </w:pPr>
      <w:r w:rsidRPr="00976011">
        <w:rPr>
          <w:rFonts w:eastAsia="SimSun"/>
          <w:color w:val="000000"/>
          <w:lang w:val="sv-SE"/>
        </w:rPr>
        <w:t>- Giao Sở Công Thương căn cứ chức năng, nhiệm vụ hướng dẫn Nhà đầu tư thực hiện các thủ tục pháp lý có liên quan.</w:t>
      </w:r>
    </w:p>
    <w:p w:rsidR="00976011" w:rsidRPr="00976011" w:rsidRDefault="00976011" w:rsidP="00332059">
      <w:pPr>
        <w:widowControl w:val="0"/>
        <w:spacing w:before="60" w:after="60"/>
        <w:ind w:right="-29" w:firstLine="567"/>
        <w:jc w:val="both"/>
        <w:rPr>
          <w:rFonts w:eastAsia="SimSun"/>
          <w:color w:val="000000"/>
          <w:lang w:val="sv-SE"/>
        </w:rPr>
      </w:pPr>
      <w:r w:rsidRPr="00976011">
        <w:rPr>
          <w:rFonts w:eastAsia="SimSun"/>
          <w:color w:val="000000"/>
          <w:lang w:val="sv-SE"/>
        </w:rPr>
        <w:t xml:space="preserve">- Giao Sở Xây dựng có trách nhiệm theo dõi, giám sát, bảo đảm nhà đầu tư đáp ứng đầy đủ các điều kiện theo quy định của pháp luật về xây dựng. Đồng thời, chủ trì hướng dẫn UBND xã Đắk Wil cập nhật </w:t>
      </w:r>
      <w:r w:rsidR="00BE254C">
        <w:rPr>
          <w:rFonts w:eastAsia="SimSun"/>
          <w:color w:val="000000"/>
          <w:lang w:val="sv-SE"/>
        </w:rPr>
        <w:t>q</w:t>
      </w:r>
      <w:r w:rsidRPr="00976011">
        <w:rPr>
          <w:rFonts w:eastAsia="SimSun"/>
          <w:color w:val="000000"/>
          <w:lang w:val="sv-SE"/>
        </w:rPr>
        <w:t>uy hoạch chung xã Đắk Wil đúng quy định pháp luật hiện hành, đảm bảo phù hợp với tình hình thực tế và tính khả thi.</w:t>
      </w:r>
    </w:p>
    <w:p w:rsidR="00976011" w:rsidRDefault="00976011" w:rsidP="00332059">
      <w:pPr>
        <w:widowControl w:val="0"/>
        <w:autoSpaceDE w:val="0"/>
        <w:autoSpaceDN w:val="0"/>
        <w:spacing w:before="60" w:after="60"/>
        <w:ind w:right="3" w:firstLine="567"/>
        <w:jc w:val="both"/>
        <w:rPr>
          <w:rFonts w:eastAsia="Calibri"/>
          <w:color w:val="000000"/>
        </w:rPr>
      </w:pPr>
      <w:r w:rsidRPr="00976011">
        <w:rPr>
          <w:rFonts w:eastAsia="Calibri"/>
          <w:color w:val="000000"/>
        </w:rPr>
        <w:t>- Sở Khoa học và Công nghệ phối hợp với các ngành liên quan có ý kiến, thẩm định về công nghệ dự án trong quá trình tham gia thẩm định các hồ sơ, thủ tục pháp lý của dự án theo quy định.</w:t>
      </w:r>
    </w:p>
    <w:p w:rsidR="00BE254C" w:rsidRPr="00976011" w:rsidRDefault="00BE254C" w:rsidP="00332059">
      <w:pPr>
        <w:widowControl w:val="0"/>
        <w:spacing w:before="60" w:after="60"/>
        <w:ind w:right="-29" w:firstLine="567"/>
        <w:jc w:val="both"/>
        <w:rPr>
          <w:rFonts w:eastAsia="SimSun"/>
          <w:color w:val="000000"/>
          <w:lang w:val="sv-SE"/>
        </w:rPr>
      </w:pPr>
      <w:r w:rsidRPr="00976011">
        <w:rPr>
          <w:rFonts w:eastAsia="SimSun"/>
          <w:color w:val="000000"/>
          <w:lang w:val="sv-SE"/>
        </w:rPr>
        <w:t xml:space="preserve">- Giao Thuế tỉnh chủ động kiểm tra việc thực hiện nghĩa vụ tài chính đối với </w:t>
      </w:r>
      <w:r>
        <w:rPr>
          <w:rFonts w:eastAsia="SimSun"/>
          <w:color w:val="000000"/>
          <w:lang w:val="sv-SE"/>
        </w:rPr>
        <w:t>n</w:t>
      </w:r>
      <w:r w:rsidRPr="00976011">
        <w:rPr>
          <w:rFonts w:eastAsia="SimSun"/>
          <w:color w:val="000000"/>
          <w:lang w:val="sv-SE"/>
        </w:rPr>
        <w:t>hà nước của Nhà đầu tư và dự án đầu tư theo quy định của pháp luật.</w:t>
      </w:r>
    </w:p>
    <w:p w:rsidR="00976011" w:rsidRPr="00976011" w:rsidRDefault="00976011" w:rsidP="00332059">
      <w:pPr>
        <w:widowControl w:val="0"/>
        <w:spacing w:before="60" w:after="60"/>
        <w:ind w:right="-29" w:firstLine="567"/>
        <w:jc w:val="both"/>
        <w:rPr>
          <w:rFonts w:eastAsia="SimSun"/>
          <w:color w:val="000000"/>
          <w:lang w:val="sv-SE"/>
        </w:rPr>
      </w:pPr>
      <w:r w:rsidRPr="00976011">
        <w:rPr>
          <w:rFonts w:eastAsia="SimSun"/>
          <w:color w:val="000000"/>
          <w:lang w:val="sv-SE"/>
        </w:rPr>
        <w:t>- Giao UBND xã Đắk Wil cập nhật dự án Nhà máy Điện mặt trời Ea Pô 1 vào Quy hoạch chung xã Đắk Wil theo đúng quy định pháp luật.</w:t>
      </w:r>
    </w:p>
    <w:p w:rsidR="00BE254C" w:rsidRPr="001D3117" w:rsidRDefault="00976011" w:rsidP="00332059">
      <w:pPr>
        <w:widowControl w:val="0"/>
        <w:spacing w:before="60" w:after="60"/>
        <w:ind w:right="-29" w:firstLine="567"/>
        <w:jc w:val="both"/>
        <w:rPr>
          <w:noProof/>
          <w:szCs w:val="20"/>
          <w:lang w:val="vi-VN"/>
        </w:rPr>
      </w:pPr>
      <w:r w:rsidRPr="00976011">
        <w:rPr>
          <w:rFonts w:eastAsia="SimSun"/>
          <w:color w:val="000000"/>
          <w:lang w:val="sv-SE"/>
        </w:rPr>
        <w:t>- Giao các Sở: Tài chính, Công Thương, Xây dựng, Nông nghiệp và Môi trường</w:t>
      </w:r>
      <w:r w:rsidR="00BE254C">
        <w:rPr>
          <w:rFonts w:eastAsia="SimSun"/>
          <w:color w:val="000000"/>
          <w:lang w:val="sv-SE"/>
        </w:rPr>
        <w:t xml:space="preserve">, </w:t>
      </w:r>
      <w:r w:rsidR="00BE254C" w:rsidRPr="00976011">
        <w:rPr>
          <w:rFonts w:eastAsia="Calibri"/>
          <w:color w:val="000000"/>
        </w:rPr>
        <w:t>Khoa học và Công nghệ</w:t>
      </w:r>
      <w:r w:rsidR="00BE254C">
        <w:rPr>
          <w:rFonts w:eastAsia="Calibri"/>
          <w:color w:val="000000"/>
        </w:rPr>
        <w:t>,</w:t>
      </w:r>
      <w:r w:rsidR="00BE254C" w:rsidRPr="00976011">
        <w:rPr>
          <w:rFonts w:eastAsia="Calibri"/>
          <w:color w:val="000000"/>
        </w:rPr>
        <w:t xml:space="preserve"> </w:t>
      </w:r>
      <w:r w:rsidR="00BE254C" w:rsidRPr="00976011">
        <w:rPr>
          <w:rFonts w:eastAsia="SimSun"/>
          <w:color w:val="000000"/>
          <w:lang w:val="sv-SE"/>
        </w:rPr>
        <w:t>UBND xã Đắk Wil</w:t>
      </w:r>
      <w:r w:rsidR="00BE254C">
        <w:rPr>
          <w:rFonts w:eastAsia="SimSun"/>
          <w:color w:val="000000"/>
          <w:lang w:val="sv-SE"/>
        </w:rPr>
        <w:t xml:space="preserve"> </w:t>
      </w:r>
      <w:r w:rsidRPr="00976011">
        <w:rPr>
          <w:rFonts w:eastAsia="SimSun"/>
          <w:color w:val="000000"/>
          <w:lang w:val="sv-SE"/>
        </w:rPr>
        <w:t xml:space="preserve">và các cơ quan, đơn vị liên quan </w:t>
      </w:r>
      <w:r w:rsidR="00BE254C" w:rsidRPr="001D3117">
        <w:rPr>
          <w:noProof/>
          <w:szCs w:val="20"/>
          <w:lang w:val="vi-VN"/>
        </w:rPr>
        <w:t>có trách nhiệm hướng dẫn nhà đầu tư triển khai thực hiện dự án đầy đủ, kịp thời, đúng quy định pháp luật</w:t>
      </w:r>
      <w:r w:rsidR="00BE254C">
        <w:rPr>
          <w:noProof/>
          <w:szCs w:val="20"/>
        </w:rPr>
        <w:t xml:space="preserve">. </w:t>
      </w:r>
      <w:r w:rsidR="00BE254C" w:rsidRPr="001D3117">
        <w:rPr>
          <w:noProof/>
          <w:szCs w:val="20"/>
          <w:lang w:val="vi-VN"/>
        </w:rPr>
        <w:t xml:space="preserve">Đồng thời, </w:t>
      </w:r>
      <w:r w:rsidR="00BE254C" w:rsidRPr="00976011">
        <w:rPr>
          <w:rFonts w:eastAsia="SimSun"/>
          <w:color w:val="000000"/>
          <w:lang w:val="sv-SE"/>
        </w:rPr>
        <w:t>thực hiện quản lý nhà nước và giám sát, đánh giá đầu tư dự án theo quy định của pháp luật về đầu tư và pháp luật chuyên ngành</w:t>
      </w:r>
      <w:r w:rsidR="00BE254C">
        <w:rPr>
          <w:rFonts w:eastAsia="SimSun"/>
          <w:color w:val="000000"/>
          <w:lang w:val="sv-SE"/>
        </w:rPr>
        <w:t xml:space="preserve">; trường hợp </w:t>
      </w:r>
      <w:r w:rsidR="00BE254C" w:rsidRPr="001D3117">
        <w:rPr>
          <w:noProof/>
          <w:szCs w:val="20"/>
          <w:lang w:val="vi-VN"/>
        </w:rPr>
        <w:t xml:space="preserve">phát hiện </w:t>
      </w:r>
      <w:r w:rsidR="00BE254C">
        <w:rPr>
          <w:noProof/>
          <w:szCs w:val="20"/>
        </w:rPr>
        <w:t>nhà</w:t>
      </w:r>
      <w:r w:rsidR="00BE254C" w:rsidRPr="001D3117">
        <w:rPr>
          <w:noProof/>
          <w:szCs w:val="20"/>
          <w:lang w:val="vi-VN"/>
        </w:rPr>
        <w:t xml:space="preserve"> đầu tư triển khai dự án không bảo đảm với nội dung được quy định tại Quyết định chấp thuận chủ trương đầu tư đồng thời chấp thuận nhà đầu tư này thì báo cáo UBND tỉnh Lâm Đồng xử lý theo quy định của pháp luật.</w:t>
      </w:r>
    </w:p>
    <w:p w:rsidR="009771FF" w:rsidRPr="00C8503D" w:rsidRDefault="009771FF" w:rsidP="00332059">
      <w:pPr>
        <w:widowControl w:val="0"/>
        <w:spacing w:before="60" w:after="60"/>
        <w:ind w:right="-29" w:firstLine="567"/>
        <w:jc w:val="both"/>
        <w:rPr>
          <w:b/>
          <w:bCs/>
          <w:lang w:val="sv-SE"/>
        </w:rPr>
      </w:pPr>
      <w:r w:rsidRPr="00C8503D">
        <w:rPr>
          <w:b/>
          <w:bCs/>
          <w:lang w:val="sv-SE"/>
        </w:rPr>
        <w:t>Điều 3. Điều khoản thi hành</w:t>
      </w:r>
    </w:p>
    <w:p w:rsidR="009771FF" w:rsidRPr="00C8503D" w:rsidRDefault="009771FF" w:rsidP="00332059">
      <w:pPr>
        <w:widowControl w:val="0"/>
        <w:tabs>
          <w:tab w:val="left" w:leader="dot" w:pos="9072"/>
        </w:tabs>
        <w:spacing w:before="60" w:after="60"/>
        <w:ind w:firstLine="567"/>
        <w:jc w:val="both"/>
      </w:pPr>
      <w:r w:rsidRPr="00C8503D">
        <w:t>1. Quyết định này có hiệu lực thi hành kể từ ngày ký.</w:t>
      </w:r>
    </w:p>
    <w:p w:rsidR="009771FF" w:rsidRPr="00C8503D" w:rsidRDefault="009771FF" w:rsidP="00332059">
      <w:pPr>
        <w:widowControl w:val="0"/>
        <w:tabs>
          <w:tab w:val="left" w:leader="dot" w:pos="9072"/>
        </w:tabs>
        <w:spacing w:before="60" w:after="60"/>
        <w:ind w:firstLine="567"/>
        <w:jc w:val="both"/>
      </w:pPr>
      <w:r w:rsidRPr="00C8503D">
        <w:t xml:space="preserve">2. </w:t>
      </w:r>
      <w:r w:rsidR="00B1331A">
        <w:t xml:space="preserve">Chánh Văn phòng </w:t>
      </w:r>
      <w:r w:rsidR="00BE254C">
        <w:t>Ủy ban nhân dân</w:t>
      </w:r>
      <w:r w:rsidR="00B1331A">
        <w:t xml:space="preserve"> tỉnh; </w:t>
      </w:r>
      <w:r w:rsidRPr="00C8503D">
        <w:t xml:space="preserve">Giám đốc các Sở: </w:t>
      </w:r>
      <w:r w:rsidR="00E20E93" w:rsidRPr="00C8503D">
        <w:t>Tài chính</w:t>
      </w:r>
      <w:r w:rsidRPr="00C8503D">
        <w:t xml:space="preserve">, </w:t>
      </w:r>
      <w:r w:rsidR="00E20E93" w:rsidRPr="00C8503D">
        <w:t>Nông nghiệp và Môi trường, Xây dựng</w:t>
      </w:r>
      <w:r w:rsidRPr="00C8503D">
        <w:t xml:space="preserve">, </w:t>
      </w:r>
      <w:r w:rsidR="006A4478" w:rsidRPr="00C8503D">
        <w:t xml:space="preserve">Công </w:t>
      </w:r>
      <w:r w:rsidR="001C7AF5" w:rsidRPr="00C8503D">
        <w:t>T</w:t>
      </w:r>
      <w:r w:rsidR="006A4478" w:rsidRPr="00C8503D">
        <w:t>hương</w:t>
      </w:r>
      <w:r w:rsidR="001C7AF5" w:rsidRPr="00C8503D">
        <w:t>, Khoa học và Công nghệ</w:t>
      </w:r>
      <w:r w:rsidRPr="00C8503D">
        <w:t xml:space="preserve">; </w:t>
      </w:r>
      <w:r w:rsidR="00BB6F71">
        <w:t>Trưởng</w:t>
      </w:r>
      <w:r w:rsidR="00BB6F71" w:rsidRPr="00C8503D">
        <w:t xml:space="preserve"> Thuế</w:t>
      </w:r>
      <w:r w:rsidR="00BB6F71">
        <w:t xml:space="preserve"> tỉnh</w:t>
      </w:r>
      <w:r w:rsidR="00BB6F71" w:rsidRPr="00C8503D">
        <w:t xml:space="preserve">; </w:t>
      </w:r>
      <w:r w:rsidRPr="00C8503D">
        <w:t xml:space="preserve">Chủ tịch </w:t>
      </w:r>
      <w:r w:rsidR="001B694C" w:rsidRPr="00C8503D">
        <w:t>UBND</w:t>
      </w:r>
      <w:r w:rsidR="00E63072">
        <w:t xml:space="preserve"> xã</w:t>
      </w:r>
      <w:r w:rsidR="00F83515">
        <w:t xml:space="preserve"> </w:t>
      </w:r>
      <w:r w:rsidR="00976011">
        <w:t>Đắk Wil</w:t>
      </w:r>
      <w:r w:rsidRPr="00C8503D">
        <w:t xml:space="preserve">; </w:t>
      </w:r>
      <w:r w:rsidR="00976011" w:rsidRPr="00976011">
        <w:t xml:space="preserve">Công ty Cổ </w:t>
      </w:r>
      <w:r w:rsidR="00976011">
        <w:t>phần Điện mặt trời Ea Pô 1</w:t>
      </w:r>
      <w:r w:rsidR="00F83515">
        <w:t xml:space="preserve"> </w:t>
      </w:r>
      <w:r w:rsidRPr="00C8503D">
        <w:t xml:space="preserve">và </w:t>
      </w:r>
      <w:r w:rsidR="00B1331A">
        <w:t>T</w:t>
      </w:r>
      <w:r w:rsidRPr="00C8503D">
        <w:t>hủ trưởng các đơn vị có liên quan chịu trách nhiệm thi hành Quyết định này.</w:t>
      </w:r>
    </w:p>
    <w:p w:rsidR="00C8503D" w:rsidRDefault="0025024A" w:rsidP="00332059">
      <w:pPr>
        <w:widowControl w:val="0"/>
        <w:tabs>
          <w:tab w:val="left" w:leader="dot" w:pos="9072"/>
        </w:tabs>
        <w:spacing w:before="60" w:after="240"/>
        <w:ind w:firstLine="567"/>
        <w:jc w:val="both"/>
      </w:pPr>
      <w:r w:rsidRPr="00C8503D">
        <w:t xml:space="preserve">3. </w:t>
      </w:r>
      <w:r w:rsidR="00C8503D">
        <w:t xml:space="preserve">Quyết định này được cấp cho </w:t>
      </w:r>
      <w:r w:rsidR="00976011" w:rsidRPr="00976011">
        <w:t>Công t</w:t>
      </w:r>
      <w:r w:rsidR="00976011">
        <w:t>y Cổ phần Điện mặt trời Ea Pô 1</w:t>
      </w:r>
      <w:r w:rsidR="00BE254C">
        <w:t xml:space="preserve"> một bản</w:t>
      </w:r>
      <w:r w:rsidR="00976011">
        <w:t>,</w:t>
      </w:r>
      <w:r w:rsidR="00C8503D">
        <w:t xml:space="preserve"> </w:t>
      </w:r>
      <w:r w:rsidR="00BE254C">
        <w:t>một</w:t>
      </w:r>
      <w:r w:rsidR="00C8503D">
        <w:t xml:space="preserve"> bản được lưu tạ</w:t>
      </w:r>
      <w:r w:rsidR="00976011">
        <w:t>i Ủy ban nhân dân tỉnh Lâm Đồng</w:t>
      </w:r>
      <w:r w:rsidR="00C8503D">
        <w:t>./.</w:t>
      </w:r>
    </w:p>
    <w:tbl>
      <w:tblPr>
        <w:tblW w:w="9673" w:type="dxa"/>
        <w:tblInd w:w="108" w:type="dxa"/>
        <w:tblLook w:val="01E0" w:firstRow="1" w:lastRow="1" w:firstColumn="1" w:lastColumn="1" w:noHBand="0" w:noVBand="0"/>
      </w:tblPr>
      <w:tblGrid>
        <w:gridCol w:w="4428"/>
        <w:gridCol w:w="5245"/>
      </w:tblGrid>
      <w:tr w:rsidR="00BE254C" w:rsidRPr="00D77A68" w:rsidTr="00264E89">
        <w:trPr>
          <w:trHeight w:val="1477"/>
        </w:trPr>
        <w:tc>
          <w:tcPr>
            <w:tcW w:w="4428" w:type="dxa"/>
          </w:tcPr>
          <w:p w:rsidR="00BE254C" w:rsidRPr="00D77A68" w:rsidRDefault="00BE254C" w:rsidP="00264E89">
            <w:pPr>
              <w:ind w:left="-108"/>
              <w:rPr>
                <w:b/>
                <w:color w:val="000000"/>
                <w:sz w:val="24"/>
                <w:szCs w:val="24"/>
                <w:lang w:val="sv-SE"/>
              </w:rPr>
            </w:pPr>
            <w:r w:rsidRPr="00D77A68">
              <w:rPr>
                <w:b/>
                <w:i/>
                <w:color w:val="000000"/>
                <w:sz w:val="24"/>
                <w:szCs w:val="24"/>
                <w:lang w:val="sv-SE"/>
              </w:rPr>
              <w:t>Nơi nhận:</w:t>
            </w:r>
          </w:p>
          <w:p w:rsidR="00BE254C" w:rsidRDefault="00BE254C" w:rsidP="00264E89">
            <w:pPr>
              <w:ind w:left="-108"/>
              <w:jc w:val="both"/>
              <w:rPr>
                <w:color w:val="000000"/>
                <w:sz w:val="22"/>
                <w:lang w:val="sv-SE"/>
              </w:rPr>
            </w:pPr>
            <w:r w:rsidRPr="00D77A68">
              <w:rPr>
                <w:color w:val="000000"/>
                <w:sz w:val="22"/>
                <w:lang w:val="sv-SE"/>
              </w:rPr>
              <w:t>- Như Điều 3;</w:t>
            </w:r>
          </w:p>
          <w:p w:rsidR="00BE254C" w:rsidRPr="00795DAF" w:rsidRDefault="00BE254C" w:rsidP="00264E89">
            <w:pPr>
              <w:ind w:left="-108"/>
              <w:jc w:val="both"/>
              <w:rPr>
                <w:color w:val="000000"/>
                <w:sz w:val="22"/>
                <w:lang w:val="sv-SE"/>
              </w:rPr>
            </w:pPr>
            <w:r w:rsidRPr="00795DAF">
              <w:rPr>
                <w:color w:val="000000"/>
                <w:sz w:val="22"/>
                <w:lang w:val="sv-SE"/>
              </w:rPr>
              <w:t>- Thường trực Đảng ủy UBND tỉnh (b/c);</w:t>
            </w:r>
          </w:p>
          <w:p w:rsidR="00BE254C" w:rsidRDefault="00BE254C" w:rsidP="00264E89">
            <w:pPr>
              <w:ind w:left="-108"/>
              <w:jc w:val="both"/>
              <w:rPr>
                <w:color w:val="000000"/>
                <w:sz w:val="22"/>
                <w:lang w:val="sv-SE"/>
              </w:rPr>
            </w:pPr>
            <w:r w:rsidRPr="00D77A68">
              <w:rPr>
                <w:color w:val="000000"/>
                <w:sz w:val="22"/>
                <w:lang w:val="sv-SE"/>
              </w:rPr>
              <w:t>- Chủ tịch, các PCT UBND tỉnh;</w:t>
            </w:r>
          </w:p>
          <w:p w:rsidR="00BE254C" w:rsidRDefault="00BE254C" w:rsidP="00264E89">
            <w:pPr>
              <w:ind w:left="-108"/>
              <w:jc w:val="both"/>
              <w:rPr>
                <w:color w:val="000000"/>
                <w:sz w:val="22"/>
                <w:lang w:val="sv-SE"/>
              </w:rPr>
            </w:pPr>
            <w:r w:rsidRPr="00FB30C9">
              <w:rPr>
                <w:color w:val="000000"/>
                <w:sz w:val="22"/>
                <w:lang w:val="sv-SE"/>
              </w:rPr>
              <w:t>- Công an tỉnh;</w:t>
            </w:r>
          </w:p>
          <w:p w:rsidR="00BE254C" w:rsidRPr="00FB30C9" w:rsidRDefault="00BE254C" w:rsidP="00264E89">
            <w:pPr>
              <w:ind w:left="-108"/>
              <w:jc w:val="both"/>
              <w:rPr>
                <w:color w:val="000000"/>
                <w:sz w:val="22"/>
                <w:lang w:val="sv-SE"/>
              </w:rPr>
            </w:pPr>
            <w:r w:rsidRPr="00FB30C9">
              <w:rPr>
                <w:color w:val="000000"/>
                <w:sz w:val="22"/>
                <w:lang w:val="sv-SE"/>
              </w:rPr>
              <w:t>- BCH Quân sự tỉnh;</w:t>
            </w:r>
          </w:p>
          <w:p w:rsidR="00BE254C" w:rsidRDefault="00BE254C" w:rsidP="00264E89">
            <w:pPr>
              <w:ind w:left="-108"/>
              <w:jc w:val="both"/>
              <w:rPr>
                <w:color w:val="000000"/>
                <w:sz w:val="22"/>
                <w:lang w:val="sv-SE"/>
              </w:rPr>
            </w:pPr>
            <w:r w:rsidRPr="00D77A68">
              <w:rPr>
                <w:color w:val="000000"/>
                <w:sz w:val="22"/>
                <w:lang w:val="sv-SE"/>
              </w:rPr>
              <w:t xml:space="preserve">- </w:t>
            </w:r>
            <w:r>
              <w:rPr>
                <w:color w:val="000000"/>
                <w:sz w:val="22"/>
                <w:lang w:val="sv-SE"/>
              </w:rPr>
              <w:t xml:space="preserve">Lãnh đạo </w:t>
            </w:r>
            <w:r w:rsidRPr="00D77A68">
              <w:rPr>
                <w:color w:val="000000"/>
                <w:sz w:val="22"/>
                <w:lang w:val="sv-SE"/>
              </w:rPr>
              <w:t>VP UBND tỉnh;</w:t>
            </w:r>
          </w:p>
          <w:p w:rsidR="00BE254C" w:rsidRPr="00795DAF" w:rsidRDefault="00BE254C" w:rsidP="00264E89">
            <w:pPr>
              <w:ind w:left="-108"/>
              <w:jc w:val="both"/>
              <w:rPr>
                <w:b/>
                <w:bCs/>
                <w:color w:val="000000"/>
                <w:sz w:val="22"/>
                <w:lang w:val="sv-SE"/>
              </w:rPr>
            </w:pPr>
            <w:r w:rsidRPr="00795DAF">
              <w:rPr>
                <w:bCs/>
                <w:color w:val="000000"/>
                <w:sz w:val="22"/>
                <w:lang w:val="sv-SE"/>
              </w:rPr>
              <w:t>- TT Phục vụ Hành chính công tỉnh;</w:t>
            </w:r>
          </w:p>
          <w:p w:rsidR="00BE254C" w:rsidRPr="00D77A68" w:rsidRDefault="00BE254C" w:rsidP="00264E89">
            <w:pPr>
              <w:ind w:left="-108"/>
              <w:jc w:val="both"/>
              <w:rPr>
                <w:color w:val="000000"/>
                <w:sz w:val="22"/>
                <w:lang w:val="sv-SE"/>
              </w:rPr>
            </w:pPr>
            <w:r w:rsidRPr="00DD1FC4">
              <w:rPr>
                <w:sz w:val="22"/>
                <w:szCs w:val="22"/>
              </w:rPr>
              <w:t>- Lưu: VT, NNMT, XDCT, KTTH(Hg).</w:t>
            </w:r>
          </w:p>
        </w:tc>
        <w:tc>
          <w:tcPr>
            <w:tcW w:w="5245" w:type="dxa"/>
          </w:tcPr>
          <w:p w:rsidR="00BE254C" w:rsidRDefault="00BE254C" w:rsidP="00264E89">
            <w:pPr>
              <w:jc w:val="center"/>
              <w:rPr>
                <w:b/>
                <w:color w:val="000000"/>
              </w:rPr>
            </w:pPr>
            <w:r w:rsidRPr="00D77A68">
              <w:rPr>
                <w:b/>
                <w:color w:val="000000"/>
              </w:rPr>
              <w:t xml:space="preserve">CHỦ TỊCH </w:t>
            </w:r>
          </w:p>
          <w:p w:rsidR="00BE254C" w:rsidRDefault="00BE254C" w:rsidP="00264E89">
            <w:pPr>
              <w:jc w:val="center"/>
              <w:rPr>
                <w:b/>
                <w:color w:val="000000"/>
              </w:rPr>
            </w:pPr>
          </w:p>
          <w:p w:rsidR="00BE254C" w:rsidRDefault="00BE254C" w:rsidP="00264E89">
            <w:pPr>
              <w:jc w:val="center"/>
              <w:rPr>
                <w:b/>
                <w:color w:val="000000"/>
              </w:rPr>
            </w:pPr>
          </w:p>
          <w:p w:rsidR="00BE254C" w:rsidRDefault="00BE254C" w:rsidP="00264E89">
            <w:pPr>
              <w:jc w:val="center"/>
              <w:rPr>
                <w:b/>
                <w:color w:val="000000"/>
              </w:rPr>
            </w:pPr>
          </w:p>
          <w:p w:rsidR="00BE254C" w:rsidRDefault="00BE254C" w:rsidP="00264E89">
            <w:pPr>
              <w:jc w:val="center"/>
              <w:rPr>
                <w:b/>
                <w:color w:val="000000"/>
              </w:rPr>
            </w:pPr>
          </w:p>
          <w:p w:rsidR="00BE254C" w:rsidRDefault="00BE254C" w:rsidP="00264E89">
            <w:pPr>
              <w:jc w:val="center"/>
              <w:rPr>
                <w:b/>
                <w:color w:val="000000"/>
              </w:rPr>
            </w:pPr>
          </w:p>
          <w:p w:rsidR="00BE254C" w:rsidRPr="00D77A68" w:rsidRDefault="00BE254C" w:rsidP="00264E89">
            <w:pPr>
              <w:jc w:val="center"/>
              <w:rPr>
                <w:b/>
                <w:color w:val="000000"/>
              </w:rPr>
            </w:pPr>
            <w:r>
              <w:rPr>
                <w:b/>
                <w:color w:val="000000"/>
              </w:rPr>
              <w:t>Hồ Văn Mười</w:t>
            </w:r>
          </w:p>
          <w:p w:rsidR="00BE254C" w:rsidRPr="00D77A68" w:rsidRDefault="00BE254C" w:rsidP="00264E89">
            <w:pPr>
              <w:jc w:val="center"/>
              <w:rPr>
                <w:b/>
                <w:color w:val="000000"/>
              </w:rPr>
            </w:pPr>
          </w:p>
          <w:p w:rsidR="00BE254C" w:rsidRPr="00D77A68" w:rsidRDefault="00BE254C" w:rsidP="00264E89">
            <w:pPr>
              <w:rPr>
                <w:b/>
                <w:color w:val="000000"/>
                <w:sz w:val="30"/>
                <w:szCs w:val="30"/>
              </w:rPr>
            </w:pPr>
            <w:r w:rsidRPr="00D77A68">
              <w:rPr>
                <w:b/>
                <w:color w:val="000000"/>
              </w:rPr>
              <w:t xml:space="preserve">            </w:t>
            </w:r>
          </w:p>
        </w:tc>
      </w:tr>
    </w:tbl>
    <w:p w:rsidR="001313F2" w:rsidRDefault="00CA75B8"/>
    <w:sectPr w:rsidR="001313F2" w:rsidSect="00071383">
      <w:headerReference w:type="default" r:id="rId9"/>
      <w:pgSz w:w="11907" w:h="16840" w:code="9"/>
      <w:pgMar w:top="1134" w:right="1134" w:bottom="851" w:left="1701" w:header="567"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5B8" w:rsidRDefault="00CA75B8">
      <w:r>
        <w:separator/>
      </w:r>
    </w:p>
  </w:endnote>
  <w:endnote w:type="continuationSeparator" w:id="0">
    <w:p w:rsidR="00CA75B8" w:rsidRDefault="00CA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Italic">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5B8" w:rsidRDefault="00CA75B8">
      <w:r>
        <w:separator/>
      </w:r>
    </w:p>
  </w:footnote>
  <w:footnote w:type="continuationSeparator" w:id="0">
    <w:p w:rsidR="00CA75B8" w:rsidRDefault="00CA7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881661782"/>
      <w:docPartObj>
        <w:docPartGallery w:val="Page Numbers (Top of Page)"/>
        <w:docPartUnique/>
      </w:docPartObj>
    </w:sdtPr>
    <w:sdtEndPr>
      <w:rPr>
        <w:noProof/>
      </w:rPr>
    </w:sdtEndPr>
    <w:sdtContent>
      <w:p w:rsidR="00460487" w:rsidRPr="00460487" w:rsidRDefault="00460487">
        <w:pPr>
          <w:pStyle w:val="Header"/>
          <w:jc w:val="center"/>
          <w:rPr>
            <w:sz w:val="24"/>
            <w:szCs w:val="24"/>
          </w:rPr>
        </w:pPr>
        <w:r w:rsidRPr="00460487">
          <w:rPr>
            <w:sz w:val="24"/>
            <w:szCs w:val="24"/>
          </w:rPr>
          <w:fldChar w:fldCharType="begin"/>
        </w:r>
        <w:r w:rsidRPr="00460487">
          <w:rPr>
            <w:sz w:val="24"/>
            <w:szCs w:val="24"/>
          </w:rPr>
          <w:instrText xml:space="preserve"> PAGE   \* MERGEFORMAT </w:instrText>
        </w:r>
        <w:r w:rsidRPr="00460487">
          <w:rPr>
            <w:sz w:val="24"/>
            <w:szCs w:val="24"/>
          </w:rPr>
          <w:fldChar w:fldCharType="separate"/>
        </w:r>
        <w:r w:rsidR="005364DD">
          <w:rPr>
            <w:noProof/>
            <w:sz w:val="24"/>
            <w:szCs w:val="24"/>
          </w:rPr>
          <w:t>4</w:t>
        </w:r>
        <w:r w:rsidRPr="00460487">
          <w:rPr>
            <w:noProof/>
            <w:sz w:val="24"/>
            <w:szCs w:val="24"/>
          </w:rPr>
          <w:fldChar w:fldCharType="end"/>
        </w:r>
      </w:p>
    </w:sdtContent>
  </w:sdt>
  <w:p w:rsidR="00460487" w:rsidRDefault="004604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51629D4"/>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00BE3824"/>
    <w:multiLevelType w:val="hybridMultilevel"/>
    <w:tmpl w:val="7D4A1B2C"/>
    <w:lvl w:ilvl="0" w:tplc="E1F4CE54">
      <w:start w:val="4"/>
      <w:numFmt w:val="bullet"/>
      <w:lvlText w:val="-"/>
      <w:lvlJc w:val="left"/>
      <w:pPr>
        <w:ind w:left="720" w:hanging="360"/>
      </w:pPr>
      <w:rPr>
        <w:rFonts w:ascii="Arial" w:eastAsia="DengXian" w:hAnsi="Arial" w:cs="Arial" w:hint="default"/>
        <w:color w:val="auto"/>
      </w:rPr>
    </w:lvl>
    <w:lvl w:ilvl="1" w:tplc="FFFFFFFF">
      <w:numFmt w:val="bullet"/>
      <w:lvlText w:val=""/>
      <w:lvlJc w:val="left"/>
      <w:pPr>
        <w:ind w:left="1440" w:hanging="360"/>
      </w:pPr>
      <w:rPr>
        <w:rFonts w:ascii="Symbol" w:eastAsia="Times New Roman" w:hAnsi="Symbol" w:cs="Times New Roman" w:hint="default"/>
        <w:sz w:val="27"/>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11FF1065"/>
    <w:multiLevelType w:val="hybridMultilevel"/>
    <w:tmpl w:val="65BE9E9A"/>
    <w:lvl w:ilvl="0" w:tplc="DFEE4D22">
      <w:start w:val="1"/>
      <w:numFmt w:val="bullet"/>
      <w:lvlText w:val=""/>
      <w:lvlJc w:val="left"/>
      <w:pPr>
        <w:ind w:left="1854" w:hanging="360"/>
      </w:pPr>
      <w:rPr>
        <w:rFonts w:ascii="Symbol" w:hAnsi="Symbol" w:cs="Symbol" w:hint="default"/>
        <w:color w:val="auto"/>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nsid w:val="17181F42"/>
    <w:multiLevelType w:val="multilevel"/>
    <w:tmpl w:val="17181F42"/>
    <w:lvl w:ilvl="0">
      <w:numFmt w:val="bullet"/>
      <w:pStyle w:val="Dau-"/>
      <w:suff w:val="space"/>
      <w:lvlText w:val="-"/>
      <w:lvlJc w:val="left"/>
      <w:pPr>
        <w:ind w:left="0" w:firstLine="0"/>
      </w:pPr>
      <w:rPr>
        <w:rFonts w:ascii=".VnTime" w:hAnsi=".VnTime"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4">
    <w:nsid w:val="24FC15C3"/>
    <w:multiLevelType w:val="hybridMultilevel"/>
    <w:tmpl w:val="164E274A"/>
    <w:lvl w:ilvl="0" w:tplc="9FC86B0A">
      <w:numFmt w:val="bullet"/>
      <w:lvlText w:val="-"/>
      <w:lvlJc w:val="left"/>
      <w:pPr>
        <w:ind w:left="720" w:hanging="360"/>
      </w:pPr>
      <w:rPr>
        <w:rFonts w:ascii="Times New Roman" w:eastAsia="Times New Roman" w:hAnsi="Times New Roman" w:cs="Times New Roman" w:hint="default"/>
      </w:rPr>
    </w:lvl>
    <w:lvl w:ilvl="1" w:tplc="0E1247C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1855C7"/>
    <w:multiLevelType w:val="multilevel"/>
    <w:tmpl w:val="5C1855C7"/>
    <w:lvl w:ilvl="0">
      <w:start w:val="1"/>
      <w:numFmt w:val="bullet"/>
      <w:lvlText w:val="-"/>
      <w:lvlJc w:val="left"/>
      <w:pPr>
        <w:tabs>
          <w:tab w:val="num" w:pos="1287"/>
        </w:tabs>
        <w:ind w:left="1287" w:hanging="360"/>
      </w:pPr>
      <w:rPr>
        <w:rFonts w:ascii="Times New Roman" w:eastAsia="Times New Roman" w:hAnsi="Times New Roman" w:cs="Times New Roman" w:hint="default"/>
      </w:rPr>
    </w:lvl>
    <w:lvl w:ilvl="1">
      <w:start w:val="1"/>
      <w:numFmt w:val="bullet"/>
      <w:lvlText w:val="+"/>
      <w:lvlJc w:val="left"/>
      <w:pPr>
        <w:tabs>
          <w:tab w:val="num" w:pos="2007"/>
        </w:tabs>
        <w:ind w:left="2007" w:hanging="360"/>
      </w:pPr>
      <w:rPr>
        <w:rFonts w:ascii="Times New Roman" w:eastAsia="Times New Roman" w:hAnsi="Times New Roman" w:cs="Times New Roman" w:hint="default"/>
      </w:rPr>
    </w:lvl>
    <w:lvl w:ilvl="2">
      <w:start w:val="1"/>
      <w:numFmt w:val="bullet"/>
      <w:lvlText w:val="o"/>
      <w:lvlJc w:val="left"/>
      <w:pPr>
        <w:tabs>
          <w:tab w:val="num" w:pos="2727"/>
        </w:tabs>
        <w:ind w:left="2727" w:hanging="360"/>
      </w:pPr>
      <w:rPr>
        <w:rFonts w:ascii="Courier New" w:hAnsi="Courier New" w:cs="Courier New" w:hint="default"/>
        <w:b w:val="0"/>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6">
    <w:nsid w:val="659601BC"/>
    <w:multiLevelType w:val="hybridMultilevel"/>
    <w:tmpl w:val="D7AA226A"/>
    <w:lvl w:ilvl="0" w:tplc="95FC69D6">
      <w:start w:val="4"/>
      <w:numFmt w:val="bullet"/>
      <w:lvlText w:val="-"/>
      <w:lvlJc w:val="left"/>
      <w:pPr>
        <w:ind w:left="1287" w:hanging="360"/>
      </w:pPr>
      <w:rPr>
        <w:rFonts w:ascii="Arial" w:eastAsia="DengXian" w:hAnsi="Arial" w:cs="Arial" w:hint="default"/>
      </w:rPr>
    </w:lvl>
    <w:lvl w:ilvl="1" w:tplc="0E1247C4">
      <w:start w:val="1"/>
      <w:numFmt w:val="bullet"/>
      <w:lvlText w:val="+"/>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7">
    <w:nsid w:val="75800EB1"/>
    <w:multiLevelType w:val="hybridMultilevel"/>
    <w:tmpl w:val="F176FE2C"/>
    <w:lvl w:ilvl="0" w:tplc="4EEAB5B2">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9785323"/>
    <w:multiLevelType w:val="multilevel"/>
    <w:tmpl w:val="69426988"/>
    <w:lvl w:ilvl="0">
      <w:start w:val="1"/>
      <w:numFmt w:val="upperRoman"/>
      <w:lvlText w:val="%1."/>
      <w:lvlJc w:val="right"/>
      <w:pPr>
        <w:ind w:left="958" w:hanging="249"/>
      </w:pPr>
      <w:rPr>
        <w:rFonts w:hint="default"/>
        <w:b/>
        <w:bCs/>
        <w:i w:val="0"/>
        <w:iCs w:val="0"/>
        <w:spacing w:val="0"/>
        <w:w w:val="100"/>
        <w:sz w:val="28"/>
        <w:szCs w:val="28"/>
        <w:lang w:eastAsia="en-US" w:bidi="ar-SA"/>
      </w:rPr>
    </w:lvl>
    <w:lvl w:ilvl="1">
      <w:start w:val="1"/>
      <w:numFmt w:val="decimal"/>
      <w:suff w:val="space"/>
      <w:lvlText w:val="%2."/>
      <w:lvlJc w:val="left"/>
      <w:pPr>
        <w:ind w:left="958" w:hanging="249"/>
      </w:pPr>
      <w:rPr>
        <w:rFonts w:ascii="Times New Roman" w:eastAsia="Times New Roman" w:hAnsi="Times New Roman" w:cs="Times New Roman" w:hint="default"/>
        <w:b/>
        <w:bCs/>
        <w:i w:val="0"/>
        <w:iCs w:val="0"/>
        <w:spacing w:val="-4"/>
        <w:w w:val="100"/>
        <w:sz w:val="28"/>
        <w:szCs w:val="28"/>
        <w:lang w:eastAsia="en-US" w:bidi="ar-SA"/>
      </w:rPr>
    </w:lvl>
    <w:lvl w:ilvl="2">
      <w:start w:val="1"/>
      <w:numFmt w:val="decimal"/>
      <w:suff w:val="space"/>
      <w:lvlText w:val="6.%3."/>
      <w:lvlJc w:val="left"/>
      <w:pPr>
        <w:ind w:left="1069" w:hanging="360"/>
      </w:pPr>
      <w:rPr>
        <w:rFonts w:hint="default"/>
      </w:rPr>
    </w:lvl>
    <w:lvl w:ilvl="3">
      <w:start w:val="1"/>
      <w:numFmt w:val="decimal"/>
      <w:lvlText w:val="%2.%3.%4."/>
      <w:lvlJc w:val="left"/>
      <w:pPr>
        <w:ind w:left="958" w:hanging="249"/>
      </w:pPr>
      <w:rPr>
        <w:rFonts w:ascii="Times New Roman" w:eastAsia="Times New Roman" w:hAnsi="Times New Roman" w:cs="Times New Roman" w:hint="default"/>
        <w:b/>
        <w:bCs/>
        <w:i/>
        <w:iCs/>
        <w:spacing w:val="-3"/>
        <w:w w:val="100"/>
        <w:sz w:val="28"/>
        <w:szCs w:val="28"/>
        <w:lang w:eastAsia="en-US" w:bidi="ar-SA"/>
      </w:rPr>
    </w:lvl>
    <w:lvl w:ilvl="4">
      <w:numFmt w:val="bullet"/>
      <w:lvlText w:val="•"/>
      <w:lvlJc w:val="left"/>
      <w:pPr>
        <w:ind w:left="958" w:hanging="249"/>
      </w:pPr>
      <w:rPr>
        <w:rFonts w:hint="default"/>
        <w:lang w:eastAsia="en-US" w:bidi="ar-SA"/>
      </w:rPr>
    </w:lvl>
    <w:lvl w:ilvl="5">
      <w:numFmt w:val="bullet"/>
      <w:lvlText w:val="•"/>
      <w:lvlJc w:val="left"/>
      <w:pPr>
        <w:ind w:left="958" w:hanging="249"/>
      </w:pPr>
      <w:rPr>
        <w:rFonts w:hint="default"/>
        <w:lang w:eastAsia="en-US" w:bidi="ar-SA"/>
      </w:rPr>
    </w:lvl>
    <w:lvl w:ilvl="6">
      <w:numFmt w:val="bullet"/>
      <w:lvlText w:val="•"/>
      <w:lvlJc w:val="left"/>
      <w:pPr>
        <w:ind w:left="958" w:hanging="249"/>
      </w:pPr>
      <w:rPr>
        <w:rFonts w:hint="default"/>
        <w:lang w:eastAsia="en-US" w:bidi="ar-SA"/>
      </w:rPr>
    </w:lvl>
    <w:lvl w:ilvl="7">
      <w:numFmt w:val="bullet"/>
      <w:lvlText w:val="•"/>
      <w:lvlJc w:val="left"/>
      <w:pPr>
        <w:ind w:left="958" w:hanging="249"/>
      </w:pPr>
      <w:rPr>
        <w:rFonts w:hint="default"/>
        <w:lang w:eastAsia="en-US" w:bidi="ar-SA"/>
      </w:rPr>
    </w:lvl>
    <w:lvl w:ilvl="8">
      <w:numFmt w:val="bullet"/>
      <w:lvlText w:val="•"/>
      <w:lvlJc w:val="left"/>
      <w:pPr>
        <w:ind w:left="958" w:hanging="249"/>
      </w:pPr>
      <w:rPr>
        <w:rFonts w:hint="default"/>
        <w:lang w:eastAsia="en-US" w:bidi="ar-SA"/>
      </w:rPr>
    </w:lvl>
  </w:abstractNum>
  <w:num w:numId="1">
    <w:abstractNumId w:val="7"/>
  </w:num>
  <w:num w:numId="2">
    <w:abstractNumId w:val="8"/>
  </w:num>
  <w:num w:numId="3">
    <w:abstractNumId w:val="4"/>
  </w:num>
  <w:num w:numId="4">
    <w:abstractNumId w:val="3"/>
  </w:num>
  <w:num w:numId="5">
    <w:abstractNumId w:val="1"/>
  </w:num>
  <w:num w:numId="6">
    <w:abstractNumId w:val="0"/>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1FF"/>
    <w:rsid w:val="0000370D"/>
    <w:rsid w:val="00007620"/>
    <w:rsid w:val="000116E0"/>
    <w:rsid w:val="00012FB7"/>
    <w:rsid w:val="00020165"/>
    <w:rsid w:val="00025E15"/>
    <w:rsid w:val="00045124"/>
    <w:rsid w:val="00051ADA"/>
    <w:rsid w:val="00052618"/>
    <w:rsid w:val="00056DCC"/>
    <w:rsid w:val="00071383"/>
    <w:rsid w:val="00081838"/>
    <w:rsid w:val="000A6243"/>
    <w:rsid w:val="000A6664"/>
    <w:rsid w:val="000E5AF5"/>
    <w:rsid w:val="000E7054"/>
    <w:rsid w:val="000F75CC"/>
    <w:rsid w:val="001076AD"/>
    <w:rsid w:val="001531EA"/>
    <w:rsid w:val="0016331A"/>
    <w:rsid w:val="00165AE9"/>
    <w:rsid w:val="00182764"/>
    <w:rsid w:val="00182B04"/>
    <w:rsid w:val="001A6653"/>
    <w:rsid w:val="001B694C"/>
    <w:rsid w:val="001C020A"/>
    <w:rsid w:val="001C7AF5"/>
    <w:rsid w:val="001E5548"/>
    <w:rsid w:val="001F0841"/>
    <w:rsid w:val="001F3A27"/>
    <w:rsid w:val="002153BC"/>
    <w:rsid w:val="00227269"/>
    <w:rsid w:val="002279F4"/>
    <w:rsid w:val="0025024A"/>
    <w:rsid w:val="002613CB"/>
    <w:rsid w:val="002A71A0"/>
    <w:rsid w:val="002B0DC8"/>
    <w:rsid w:val="002D1EBA"/>
    <w:rsid w:val="002F7169"/>
    <w:rsid w:val="003034C2"/>
    <w:rsid w:val="0031530D"/>
    <w:rsid w:val="00332059"/>
    <w:rsid w:val="00342281"/>
    <w:rsid w:val="003424CA"/>
    <w:rsid w:val="003610E6"/>
    <w:rsid w:val="00397A4A"/>
    <w:rsid w:val="003A7614"/>
    <w:rsid w:val="003C55AC"/>
    <w:rsid w:val="003F5EDD"/>
    <w:rsid w:val="003F6C0E"/>
    <w:rsid w:val="004109E0"/>
    <w:rsid w:val="00417AA6"/>
    <w:rsid w:val="00445C42"/>
    <w:rsid w:val="00460487"/>
    <w:rsid w:val="004730A4"/>
    <w:rsid w:val="00485048"/>
    <w:rsid w:val="00487819"/>
    <w:rsid w:val="004A514B"/>
    <w:rsid w:val="004B52D7"/>
    <w:rsid w:val="004E6078"/>
    <w:rsid w:val="004F6DAA"/>
    <w:rsid w:val="00512E06"/>
    <w:rsid w:val="00516395"/>
    <w:rsid w:val="00516920"/>
    <w:rsid w:val="00522FF4"/>
    <w:rsid w:val="00523632"/>
    <w:rsid w:val="00526ADC"/>
    <w:rsid w:val="00531F03"/>
    <w:rsid w:val="005364DD"/>
    <w:rsid w:val="00562CFC"/>
    <w:rsid w:val="00571A78"/>
    <w:rsid w:val="00587B0C"/>
    <w:rsid w:val="00596976"/>
    <w:rsid w:val="005A1646"/>
    <w:rsid w:val="005A18B2"/>
    <w:rsid w:val="005B0724"/>
    <w:rsid w:val="005C38C2"/>
    <w:rsid w:val="005C42E5"/>
    <w:rsid w:val="005D33F2"/>
    <w:rsid w:val="005D7E35"/>
    <w:rsid w:val="0061347D"/>
    <w:rsid w:val="00636BCA"/>
    <w:rsid w:val="00646474"/>
    <w:rsid w:val="00680210"/>
    <w:rsid w:val="006866CF"/>
    <w:rsid w:val="006A4478"/>
    <w:rsid w:val="006C1EA6"/>
    <w:rsid w:val="006C41E6"/>
    <w:rsid w:val="006D694B"/>
    <w:rsid w:val="006D6EC2"/>
    <w:rsid w:val="006E0CC8"/>
    <w:rsid w:val="006F5E96"/>
    <w:rsid w:val="007162BD"/>
    <w:rsid w:val="00731CAC"/>
    <w:rsid w:val="007350CC"/>
    <w:rsid w:val="007429A3"/>
    <w:rsid w:val="00754D2B"/>
    <w:rsid w:val="007605B9"/>
    <w:rsid w:val="0076523F"/>
    <w:rsid w:val="00782999"/>
    <w:rsid w:val="007943FB"/>
    <w:rsid w:val="007B456E"/>
    <w:rsid w:val="007B6122"/>
    <w:rsid w:val="007D2F9D"/>
    <w:rsid w:val="007E337C"/>
    <w:rsid w:val="007E553E"/>
    <w:rsid w:val="0080230C"/>
    <w:rsid w:val="0081270A"/>
    <w:rsid w:val="00814982"/>
    <w:rsid w:val="00834EFA"/>
    <w:rsid w:val="00844984"/>
    <w:rsid w:val="00852598"/>
    <w:rsid w:val="0085650C"/>
    <w:rsid w:val="00863C95"/>
    <w:rsid w:val="008861F9"/>
    <w:rsid w:val="008878B6"/>
    <w:rsid w:val="0089755B"/>
    <w:rsid w:val="008A11C5"/>
    <w:rsid w:val="008D1A1C"/>
    <w:rsid w:val="008D48EA"/>
    <w:rsid w:val="008D4DD8"/>
    <w:rsid w:val="008D75BD"/>
    <w:rsid w:val="008F0D5C"/>
    <w:rsid w:val="008F32BE"/>
    <w:rsid w:val="00905E5C"/>
    <w:rsid w:val="00931D54"/>
    <w:rsid w:val="0093342C"/>
    <w:rsid w:val="00934BD7"/>
    <w:rsid w:val="0094646D"/>
    <w:rsid w:val="00966ED2"/>
    <w:rsid w:val="00976011"/>
    <w:rsid w:val="009771FF"/>
    <w:rsid w:val="00992CA6"/>
    <w:rsid w:val="009B4CE2"/>
    <w:rsid w:val="009E4871"/>
    <w:rsid w:val="009E5F78"/>
    <w:rsid w:val="009E668D"/>
    <w:rsid w:val="009F24D7"/>
    <w:rsid w:val="00A36CB2"/>
    <w:rsid w:val="00A5310C"/>
    <w:rsid w:val="00A5661E"/>
    <w:rsid w:val="00A62C0F"/>
    <w:rsid w:val="00A64829"/>
    <w:rsid w:val="00A64DC6"/>
    <w:rsid w:val="00A7553C"/>
    <w:rsid w:val="00A76E94"/>
    <w:rsid w:val="00A86FF2"/>
    <w:rsid w:val="00A96124"/>
    <w:rsid w:val="00A96E56"/>
    <w:rsid w:val="00AA5A46"/>
    <w:rsid w:val="00AC4BC2"/>
    <w:rsid w:val="00B0198C"/>
    <w:rsid w:val="00B04C16"/>
    <w:rsid w:val="00B1331A"/>
    <w:rsid w:val="00B32447"/>
    <w:rsid w:val="00B3438B"/>
    <w:rsid w:val="00B37005"/>
    <w:rsid w:val="00B42C72"/>
    <w:rsid w:val="00B45BA6"/>
    <w:rsid w:val="00B5016A"/>
    <w:rsid w:val="00B6260A"/>
    <w:rsid w:val="00B63C6D"/>
    <w:rsid w:val="00B661E7"/>
    <w:rsid w:val="00B7676E"/>
    <w:rsid w:val="00B83DAE"/>
    <w:rsid w:val="00B840B1"/>
    <w:rsid w:val="00B91AC9"/>
    <w:rsid w:val="00BB48A8"/>
    <w:rsid w:val="00BB6F71"/>
    <w:rsid w:val="00BC13C3"/>
    <w:rsid w:val="00BC4863"/>
    <w:rsid w:val="00BD3F64"/>
    <w:rsid w:val="00BD471E"/>
    <w:rsid w:val="00BE02A6"/>
    <w:rsid w:val="00BE254C"/>
    <w:rsid w:val="00C3282C"/>
    <w:rsid w:val="00C42918"/>
    <w:rsid w:val="00C50594"/>
    <w:rsid w:val="00C505A0"/>
    <w:rsid w:val="00C52655"/>
    <w:rsid w:val="00C61783"/>
    <w:rsid w:val="00C6393D"/>
    <w:rsid w:val="00C7088F"/>
    <w:rsid w:val="00C74746"/>
    <w:rsid w:val="00C8503D"/>
    <w:rsid w:val="00C87FA7"/>
    <w:rsid w:val="00C97088"/>
    <w:rsid w:val="00CA75B8"/>
    <w:rsid w:val="00CC6C85"/>
    <w:rsid w:val="00CD5FB6"/>
    <w:rsid w:val="00CE1AC0"/>
    <w:rsid w:val="00CE7E20"/>
    <w:rsid w:val="00CF515F"/>
    <w:rsid w:val="00D0799B"/>
    <w:rsid w:val="00D10952"/>
    <w:rsid w:val="00D218E1"/>
    <w:rsid w:val="00D31B4B"/>
    <w:rsid w:val="00D617D4"/>
    <w:rsid w:val="00D74372"/>
    <w:rsid w:val="00D87A54"/>
    <w:rsid w:val="00DB0DB6"/>
    <w:rsid w:val="00DC74D5"/>
    <w:rsid w:val="00DF16D9"/>
    <w:rsid w:val="00DF19F8"/>
    <w:rsid w:val="00DF55D7"/>
    <w:rsid w:val="00E0106F"/>
    <w:rsid w:val="00E20E93"/>
    <w:rsid w:val="00E3063B"/>
    <w:rsid w:val="00E400B8"/>
    <w:rsid w:val="00E4260A"/>
    <w:rsid w:val="00E558BD"/>
    <w:rsid w:val="00E561F0"/>
    <w:rsid w:val="00E63072"/>
    <w:rsid w:val="00E632EF"/>
    <w:rsid w:val="00E819C3"/>
    <w:rsid w:val="00E92941"/>
    <w:rsid w:val="00EA7D84"/>
    <w:rsid w:val="00EF282B"/>
    <w:rsid w:val="00EF636C"/>
    <w:rsid w:val="00F170C4"/>
    <w:rsid w:val="00F17915"/>
    <w:rsid w:val="00F201A3"/>
    <w:rsid w:val="00F40339"/>
    <w:rsid w:val="00F4453B"/>
    <w:rsid w:val="00F53DD4"/>
    <w:rsid w:val="00F70DC8"/>
    <w:rsid w:val="00F83515"/>
    <w:rsid w:val="00F8495C"/>
    <w:rsid w:val="00F85047"/>
    <w:rsid w:val="00F863EE"/>
    <w:rsid w:val="00FB58D4"/>
    <w:rsid w:val="00FD11E7"/>
    <w:rsid w:val="00FD21A3"/>
    <w:rsid w:val="00FD574C"/>
    <w:rsid w:val="00FE3CD0"/>
    <w:rsid w:val="00FE6A22"/>
    <w:rsid w:val="00FF1EFF"/>
    <w:rsid w:val="00FF5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1FF"/>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9760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B694C"/>
    <w:pPr>
      <w:widowControl w:val="0"/>
      <w:autoSpaceDE w:val="0"/>
      <w:autoSpaceDN w:val="0"/>
      <w:spacing w:before="119"/>
      <w:ind w:left="988" w:hanging="279"/>
      <w:jc w:val="both"/>
      <w:outlineLvl w:val="1"/>
    </w:pPr>
    <w:rPr>
      <w:b/>
      <w:bCs/>
    </w:rPr>
  </w:style>
  <w:style w:type="paragraph" w:styleId="Heading3">
    <w:name w:val="heading 3"/>
    <w:basedOn w:val="Normal"/>
    <w:next w:val="Normal"/>
    <w:link w:val="Heading3Char"/>
    <w:uiPriority w:val="9"/>
    <w:semiHidden/>
    <w:unhideWhenUsed/>
    <w:qFormat/>
    <w:rsid w:val="00FF1EF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9771FF"/>
    <w:pPr>
      <w:spacing w:before="100" w:beforeAutospacing="1" w:after="100" w:afterAutospacing="1"/>
    </w:pPr>
    <w:rPr>
      <w:sz w:val="24"/>
      <w:szCs w:val="24"/>
    </w:rPr>
  </w:style>
  <w:style w:type="character" w:customStyle="1" w:styleId="NormalWebChar">
    <w:name w:val="Normal (Web) Char"/>
    <w:link w:val="NormalWeb"/>
    <w:uiPriority w:val="99"/>
    <w:rsid w:val="009771F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771FF"/>
    <w:pPr>
      <w:tabs>
        <w:tab w:val="center" w:pos="4680"/>
        <w:tab w:val="right" w:pos="9360"/>
      </w:tabs>
    </w:pPr>
  </w:style>
  <w:style w:type="character" w:customStyle="1" w:styleId="HeaderChar">
    <w:name w:val="Header Char"/>
    <w:basedOn w:val="DefaultParagraphFont"/>
    <w:link w:val="Header"/>
    <w:uiPriority w:val="99"/>
    <w:rsid w:val="009771FF"/>
    <w:rPr>
      <w:rFonts w:ascii="Times New Roman" w:eastAsia="Times New Roman" w:hAnsi="Times New Roman" w:cs="Times New Roman"/>
      <w:sz w:val="28"/>
      <w:szCs w:val="28"/>
    </w:rPr>
  </w:style>
  <w:style w:type="paragraph" w:styleId="ListParagraph">
    <w:name w:val="List Paragraph"/>
    <w:basedOn w:val="Normal"/>
    <w:uiPriority w:val="34"/>
    <w:qFormat/>
    <w:rsid w:val="007E337C"/>
    <w:pPr>
      <w:ind w:left="720"/>
      <w:contextualSpacing/>
    </w:pPr>
  </w:style>
  <w:style w:type="paragraph" w:styleId="Footer">
    <w:name w:val="footer"/>
    <w:basedOn w:val="Normal"/>
    <w:link w:val="FooterChar"/>
    <w:uiPriority w:val="99"/>
    <w:unhideWhenUsed/>
    <w:rsid w:val="003F5EDD"/>
    <w:pPr>
      <w:tabs>
        <w:tab w:val="center" w:pos="4680"/>
        <w:tab w:val="right" w:pos="9360"/>
      </w:tabs>
    </w:pPr>
  </w:style>
  <w:style w:type="character" w:customStyle="1" w:styleId="FooterChar">
    <w:name w:val="Footer Char"/>
    <w:basedOn w:val="DefaultParagraphFont"/>
    <w:link w:val="Footer"/>
    <w:uiPriority w:val="99"/>
    <w:rsid w:val="003F5ED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D33F2"/>
    <w:rPr>
      <w:rFonts w:ascii="Tahoma" w:hAnsi="Tahoma" w:cs="Tahoma"/>
      <w:sz w:val="16"/>
      <w:szCs w:val="16"/>
    </w:rPr>
  </w:style>
  <w:style w:type="character" w:customStyle="1" w:styleId="BalloonTextChar">
    <w:name w:val="Balloon Text Char"/>
    <w:basedOn w:val="DefaultParagraphFont"/>
    <w:link w:val="BalloonText"/>
    <w:uiPriority w:val="99"/>
    <w:semiHidden/>
    <w:rsid w:val="005D33F2"/>
    <w:rPr>
      <w:rFonts w:ascii="Tahoma" w:eastAsia="Times New Roman" w:hAnsi="Tahoma" w:cs="Tahoma"/>
      <w:sz w:val="16"/>
      <w:szCs w:val="16"/>
    </w:rPr>
  </w:style>
  <w:style w:type="paragraph" w:customStyle="1" w:styleId="caxau">
    <w:name w:val="ca xau"/>
    <w:basedOn w:val="Normal"/>
    <w:link w:val="caxauChar"/>
    <w:qFormat/>
    <w:rsid w:val="008F0D5C"/>
    <w:pPr>
      <w:spacing w:before="60" w:after="60" w:line="400" w:lineRule="exact"/>
      <w:ind w:firstLine="720"/>
      <w:jc w:val="both"/>
    </w:pPr>
    <w:rPr>
      <w:szCs w:val="26"/>
      <w:lang w:val="vi-VN"/>
    </w:rPr>
  </w:style>
  <w:style w:type="character" w:customStyle="1" w:styleId="caxauChar">
    <w:name w:val="ca xau Char"/>
    <w:link w:val="caxau"/>
    <w:rsid w:val="008F0D5C"/>
    <w:rPr>
      <w:rFonts w:ascii="Times New Roman" w:eastAsia="Times New Roman" w:hAnsi="Times New Roman" w:cs="Times New Roman"/>
      <w:sz w:val="28"/>
      <w:szCs w:val="26"/>
      <w:lang w:val="vi-VN"/>
    </w:rPr>
  </w:style>
  <w:style w:type="character" w:styleId="PageNumber">
    <w:name w:val="page number"/>
    <w:basedOn w:val="DefaultParagraphFont"/>
    <w:rsid w:val="003F6C0E"/>
  </w:style>
  <w:style w:type="character" w:customStyle="1" w:styleId="Heading2Char">
    <w:name w:val="Heading 2 Char"/>
    <w:basedOn w:val="DefaultParagraphFont"/>
    <w:link w:val="Heading2"/>
    <w:uiPriority w:val="9"/>
    <w:rsid w:val="001B694C"/>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semiHidden/>
    <w:rsid w:val="00FF1EFF"/>
    <w:rPr>
      <w:rFonts w:asciiTheme="majorHAnsi" w:eastAsiaTheme="majorEastAsia" w:hAnsiTheme="majorHAnsi" w:cstheme="majorBidi"/>
      <w:color w:val="1F4D78" w:themeColor="accent1" w:themeShade="7F"/>
      <w:sz w:val="24"/>
      <w:szCs w:val="24"/>
    </w:rPr>
  </w:style>
  <w:style w:type="paragraph" w:customStyle="1" w:styleId="Dau-">
    <w:name w:val="Dau (-)"/>
    <w:basedOn w:val="Normal"/>
    <w:link w:val="Dau-Char"/>
    <w:qFormat/>
    <w:rsid w:val="00FF1EFF"/>
    <w:pPr>
      <w:widowControl w:val="0"/>
      <w:numPr>
        <w:numId w:val="4"/>
      </w:numPr>
      <w:spacing w:before="60" w:after="60" w:line="300" w:lineRule="auto"/>
      <w:jc w:val="both"/>
    </w:pPr>
    <w:rPr>
      <w:rFonts w:eastAsia="Calibri"/>
      <w:sz w:val="27"/>
      <w:szCs w:val="26"/>
    </w:rPr>
  </w:style>
  <w:style w:type="character" w:customStyle="1" w:styleId="Dau-Char">
    <w:name w:val="Dau (-) Char"/>
    <w:link w:val="Dau-"/>
    <w:qFormat/>
    <w:rsid w:val="00FF1EFF"/>
    <w:rPr>
      <w:rFonts w:ascii="Times New Roman" w:eastAsia="Calibri" w:hAnsi="Times New Roman" w:cs="Times New Roman"/>
      <w:sz w:val="27"/>
      <w:szCs w:val="26"/>
    </w:rPr>
  </w:style>
  <w:style w:type="paragraph" w:styleId="ListBullet5">
    <w:name w:val="List Bullet 5"/>
    <w:basedOn w:val="Normal"/>
    <w:semiHidden/>
    <w:unhideWhenUsed/>
    <w:rsid w:val="00FF1EFF"/>
    <w:pPr>
      <w:numPr>
        <w:numId w:val="6"/>
      </w:numPr>
      <w:contextualSpacing/>
    </w:pPr>
    <w:rPr>
      <w:sz w:val="24"/>
      <w:szCs w:val="24"/>
    </w:rPr>
  </w:style>
  <w:style w:type="character" w:customStyle="1" w:styleId="Heading1Char">
    <w:name w:val="Heading 1 Char"/>
    <w:basedOn w:val="DefaultParagraphFont"/>
    <w:link w:val="Heading1"/>
    <w:uiPriority w:val="9"/>
    <w:rsid w:val="00976011"/>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semiHidden/>
    <w:unhideWhenUsed/>
    <w:rsid w:val="00976011"/>
    <w:pPr>
      <w:spacing w:after="120"/>
      <w:ind w:left="283"/>
    </w:pPr>
  </w:style>
  <w:style w:type="character" w:customStyle="1" w:styleId="BodyTextIndentChar">
    <w:name w:val="Body Text Indent Char"/>
    <w:basedOn w:val="DefaultParagraphFont"/>
    <w:link w:val="BodyTextIndent"/>
    <w:uiPriority w:val="99"/>
    <w:semiHidden/>
    <w:rsid w:val="00976011"/>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1FF"/>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9760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B694C"/>
    <w:pPr>
      <w:widowControl w:val="0"/>
      <w:autoSpaceDE w:val="0"/>
      <w:autoSpaceDN w:val="0"/>
      <w:spacing w:before="119"/>
      <w:ind w:left="988" w:hanging="279"/>
      <w:jc w:val="both"/>
      <w:outlineLvl w:val="1"/>
    </w:pPr>
    <w:rPr>
      <w:b/>
      <w:bCs/>
    </w:rPr>
  </w:style>
  <w:style w:type="paragraph" w:styleId="Heading3">
    <w:name w:val="heading 3"/>
    <w:basedOn w:val="Normal"/>
    <w:next w:val="Normal"/>
    <w:link w:val="Heading3Char"/>
    <w:uiPriority w:val="9"/>
    <w:semiHidden/>
    <w:unhideWhenUsed/>
    <w:qFormat/>
    <w:rsid w:val="00FF1EF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9771FF"/>
    <w:pPr>
      <w:spacing w:before="100" w:beforeAutospacing="1" w:after="100" w:afterAutospacing="1"/>
    </w:pPr>
    <w:rPr>
      <w:sz w:val="24"/>
      <w:szCs w:val="24"/>
    </w:rPr>
  </w:style>
  <w:style w:type="character" w:customStyle="1" w:styleId="NormalWebChar">
    <w:name w:val="Normal (Web) Char"/>
    <w:link w:val="NormalWeb"/>
    <w:uiPriority w:val="99"/>
    <w:rsid w:val="009771F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771FF"/>
    <w:pPr>
      <w:tabs>
        <w:tab w:val="center" w:pos="4680"/>
        <w:tab w:val="right" w:pos="9360"/>
      </w:tabs>
    </w:pPr>
  </w:style>
  <w:style w:type="character" w:customStyle="1" w:styleId="HeaderChar">
    <w:name w:val="Header Char"/>
    <w:basedOn w:val="DefaultParagraphFont"/>
    <w:link w:val="Header"/>
    <w:uiPriority w:val="99"/>
    <w:rsid w:val="009771FF"/>
    <w:rPr>
      <w:rFonts w:ascii="Times New Roman" w:eastAsia="Times New Roman" w:hAnsi="Times New Roman" w:cs="Times New Roman"/>
      <w:sz w:val="28"/>
      <w:szCs w:val="28"/>
    </w:rPr>
  </w:style>
  <w:style w:type="paragraph" w:styleId="ListParagraph">
    <w:name w:val="List Paragraph"/>
    <w:basedOn w:val="Normal"/>
    <w:uiPriority w:val="34"/>
    <w:qFormat/>
    <w:rsid w:val="007E337C"/>
    <w:pPr>
      <w:ind w:left="720"/>
      <w:contextualSpacing/>
    </w:pPr>
  </w:style>
  <w:style w:type="paragraph" w:styleId="Footer">
    <w:name w:val="footer"/>
    <w:basedOn w:val="Normal"/>
    <w:link w:val="FooterChar"/>
    <w:uiPriority w:val="99"/>
    <w:unhideWhenUsed/>
    <w:rsid w:val="003F5EDD"/>
    <w:pPr>
      <w:tabs>
        <w:tab w:val="center" w:pos="4680"/>
        <w:tab w:val="right" w:pos="9360"/>
      </w:tabs>
    </w:pPr>
  </w:style>
  <w:style w:type="character" w:customStyle="1" w:styleId="FooterChar">
    <w:name w:val="Footer Char"/>
    <w:basedOn w:val="DefaultParagraphFont"/>
    <w:link w:val="Footer"/>
    <w:uiPriority w:val="99"/>
    <w:rsid w:val="003F5ED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D33F2"/>
    <w:rPr>
      <w:rFonts w:ascii="Tahoma" w:hAnsi="Tahoma" w:cs="Tahoma"/>
      <w:sz w:val="16"/>
      <w:szCs w:val="16"/>
    </w:rPr>
  </w:style>
  <w:style w:type="character" w:customStyle="1" w:styleId="BalloonTextChar">
    <w:name w:val="Balloon Text Char"/>
    <w:basedOn w:val="DefaultParagraphFont"/>
    <w:link w:val="BalloonText"/>
    <w:uiPriority w:val="99"/>
    <w:semiHidden/>
    <w:rsid w:val="005D33F2"/>
    <w:rPr>
      <w:rFonts w:ascii="Tahoma" w:eastAsia="Times New Roman" w:hAnsi="Tahoma" w:cs="Tahoma"/>
      <w:sz w:val="16"/>
      <w:szCs w:val="16"/>
    </w:rPr>
  </w:style>
  <w:style w:type="paragraph" w:customStyle="1" w:styleId="caxau">
    <w:name w:val="ca xau"/>
    <w:basedOn w:val="Normal"/>
    <w:link w:val="caxauChar"/>
    <w:qFormat/>
    <w:rsid w:val="008F0D5C"/>
    <w:pPr>
      <w:spacing w:before="60" w:after="60" w:line="400" w:lineRule="exact"/>
      <w:ind w:firstLine="720"/>
      <w:jc w:val="both"/>
    </w:pPr>
    <w:rPr>
      <w:szCs w:val="26"/>
      <w:lang w:val="vi-VN"/>
    </w:rPr>
  </w:style>
  <w:style w:type="character" w:customStyle="1" w:styleId="caxauChar">
    <w:name w:val="ca xau Char"/>
    <w:link w:val="caxau"/>
    <w:rsid w:val="008F0D5C"/>
    <w:rPr>
      <w:rFonts w:ascii="Times New Roman" w:eastAsia="Times New Roman" w:hAnsi="Times New Roman" w:cs="Times New Roman"/>
      <w:sz w:val="28"/>
      <w:szCs w:val="26"/>
      <w:lang w:val="vi-VN"/>
    </w:rPr>
  </w:style>
  <w:style w:type="character" w:styleId="PageNumber">
    <w:name w:val="page number"/>
    <w:basedOn w:val="DefaultParagraphFont"/>
    <w:rsid w:val="003F6C0E"/>
  </w:style>
  <w:style w:type="character" w:customStyle="1" w:styleId="Heading2Char">
    <w:name w:val="Heading 2 Char"/>
    <w:basedOn w:val="DefaultParagraphFont"/>
    <w:link w:val="Heading2"/>
    <w:uiPriority w:val="9"/>
    <w:rsid w:val="001B694C"/>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semiHidden/>
    <w:rsid w:val="00FF1EFF"/>
    <w:rPr>
      <w:rFonts w:asciiTheme="majorHAnsi" w:eastAsiaTheme="majorEastAsia" w:hAnsiTheme="majorHAnsi" w:cstheme="majorBidi"/>
      <w:color w:val="1F4D78" w:themeColor="accent1" w:themeShade="7F"/>
      <w:sz w:val="24"/>
      <w:szCs w:val="24"/>
    </w:rPr>
  </w:style>
  <w:style w:type="paragraph" w:customStyle="1" w:styleId="Dau-">
    <w:name w:val="Dau (-)"/>
    <w:basedOn w:val="Normal"/>
    <w:link w:val="Dau-Char"/>
    <w:qFormat/>
    <w:rsid w:val="00FF1EFF"/>
    <w:pPr>
      <w:widowControl w:val="0"/>
      <w:numPr>
        <w:numId w:val="4"/>
      </w:numPr>
      <w:spacing w:before="60" w:after="60" w:line="300" w:lineRule="auto"/>
      <w:jc w:val="both"/>
    </w:pPr>
    <w:rPr>
      <w:rFonts w:eastAsia="Calibri"/>
      <w:sz w:val="27"/>
      <w:szCs w:val="26"/>
    </w:rPr>
  </w:style>
  <w:style w:type="character" w:customStyle="1" w:styleId="Dau-Char">
    <w:name w:val="Dau (-) Char"/>
    <w:link w:val="Dau-"/>
    <w:qFormat/>
    <w:rsid w:val="00FF1EFF"/>
    <w:rPr>
      <w:rFonts w:ascii="Times New Roman" w:eastAsia="Calibri" w:hAnsi="Times New Roman" w:cs="Times New Roman"/>
      <w:sz w:val="27"/>
      <w:szCs w:val="26"/>
    </w:rPr>
  </w:style>
  <w:style w:type="paragraph" w:styleId="ListBullet5">
    <w:name w:val="List Bullet 5"/>
    <w:basedOn w:val="Normal"/>
    <w:semiHidden/>
    <w:unhideWhenUsed/>
    <w:rsid w:val="00FF1EFF"/>
    <w:pPr>
      <w:numPr>
        <w:numId w:val="6"/>
      </w:numPr>
      <w:contextualSpacing/>
    </w:pPr>
    <w:rPr>
      <w:sz w:val="24"/>
      <w:szCs w:val="24"/>
    </w:rPr>
  </w:style>
  <w:style w:type="character" w:customStyle="1" w:styleId="Heading1Char">
    <w:name w:val="Heading 1 Char"/>
    <w:basedOn w:val="DefaultParagraphFont"/>
    <w:link w:val="Heading1"/>
    <w:uiPriority w:val="9"/>
    <w:rsid w:val="00976011"/>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semiHidden/>
    <w:unhideWhenUsed/>
    <w:rsid w:val="00976011"/>
    <w:pPr>
      <w:spacing w:after="120"/>
      <w:ind w:left="283"/>
    </w:pPr>
  </w:style>
  <w:style w:type="character" w:customStyle="1" w:styleId="BodyTextIndentChar">
    <w:name w:val="Body Text Indent Char"/>
    <w:basedOn w:val="DefaultParagraphFont"/>
    <w:link w:val="BodyTextIndent"/>
    <w:uiPriority w:val="99"/>
    <w:semiHidden/>
    <w:rsid w:val="00976011"/>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AC1CC-014B-4FAD-9FFA-636E9B6E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PC</cp:lastModifiedBy>
  <cp:revision>7</cp:revision>
  <cp:lastPrinted>2026-04-22T10:56:00Z</cp:lastPrinted>
  <dcterms:created xsi:type="dcterms:W3CDTF">2026-05-24T03:22:00Z</dcterms:created>
  <dcterms:modified xsi:type="dcterms:W3CDTF">2026-05-24T03:57:00Z</dcterms:modified>
</cp:coreProperties>
</file>