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76" w:type="dxa"/>
        <w:tblLook w:val="04A0" w:firstRow="1" w:lastRow="0" w:firstColumn="1" w:lastColumn="0" w:noHBand="0" w:noVBand="1"/>
      </w:tblPr>
      <w:tblGrid>
        <w:gridCol w:w="4991"/>
        <w:gridCol w:w="4819"/>
      </w:tblGrid>
      <w:tr w:rsidR="004F6402" w:rsidRPr="004F6402" w14:paraId="57D08909" w14:textId="77777777" w:rsidTr="008B13A9">
        <w:trPr>
          <w:trHeight w:val="981"/>
        </w:trPr>
        <w:tc>
          <w:tcPr>
            <w:tcW w:w="4991" w:type="dxa"/>
          </w:tcPr>
          <w:p w14:paraId="208ABCD0" w14:textId="26CB6D04" w:rsidR="00093B6B" w:rsidRPr="004F6402" w:rsidRDefault="00093B6B" w:rsidP="000D772D">
            <w:pPr>
              <w:jc w:val="center"/>
              <w:rPr>
                <w:b/>
                <w:bCs/>
                <w:spacing w:val="-8"/>
                <w:sz w:val="28"/>
                <w:lang w:val="de-DE"/>
              </w:rPr>
            </w:pPr>
            <w:r w:rsidRPr="004F6402">
              <w:rPr>
                <w:bCs/>
                <w:spacing w:val="-8"/>
                <w:sz w:val="28"/>
                <w:lang w:val="de-DE"/>
              </w:rPr>
              <w:t>ĐẢNG BỘ TỈNH</w:t>
            </w:r>
            <w:r w:rsidR="00E87C14" w:rsidRPr="004F6402">
              <w:rPr>
                <w:bCs/>
                <w:spacing w:val="-8"/>
                <w:sz w:val="28"/>
                <w:lang w:val="de-DE"/>
              </w:rPr>
              <w:t xml:space="preserve"> </w:t>
            </w:r>
            <w:r w:rsidR="004715A0" w:rsidRPr="004F6402">
              <w:rPr>
                <w:bCs/>
                <w:spacing w:val="-8"/>
                <w:sz w:val="28"/>
                <w:lang w:val="de-DE"/>
              </w:rPr>
              <w:t>LÂM ĐỒNG</w:t>
            </w:r>
          </w:p>
          <w:p w14:paraId="057A3FB9" w14:textId="77777777" w:rsidR="00093B6B" w:rsidRPr="004F6402" w:rsidRDefault="00093B6B" w:rsidP="000D772D">
            <w:pPr>
              <w:jc w:val="center"/>
              <w:rPr>
                <w:b/>
                <w:bCs/>
                <w:spacing w:val="-8"/>
                <w:sz w:val="28"/>
                <w:lang w:val="de-DE"/>
              </w:rPr>
            </w:pPr>
            <w:r w:rsidRPr="004F6402">
              <w:rPr>
                <w:b/>
                <w:bCs/>
                <w:spacing w:val="-8"/>
                <w:sz w:val="28"/>
                <w:lang w:val="de-DE"/>
              </w:rPr>
              <w:t>ĐẢNG ỦY ỦY BAN NHÂN DÂN TỈNH</w:t>
            </w:r>
          </w:p>
          <w:p w14:paraId="4CC22F4F" w14:textId="77777777" w:rsidR="00093B6B" w:rsidRPr="004F6402" w:rsidRDefault="00093B6B" w:rsidP="00093B6B">
            <w:pPr>
              <w:jc w:val="center"/>
              <w:rPr>
                <w:b/>
                <w:bCs/>
                <w:sz w:val="28"/>
                <w:lang w:val="de-DE"/>
              </w:rPr>
            </w:pPr>
            <w:r w:rsidRPr="004F6402">
              <w:rPr>
                <w:b/>
                <w:bCs/>
                <w:sz w:val="28"/>
                <w:lang w:val="de-DE"/>
              </w:rPr>
              <w:t>*</w:t>
            </w:r>
          </w:p>
          <w:p w14:paraId="01E443F6" w14:textId="5112925A" w:rsidR="008E5C5C" w:rsidRPr="004F6402" w:rsidRDefault="001F7198" w:rsidP="00093B6B">
            <w:pPr>
              <w:jc w:val="center"/>
              <w:rPr>
                <w:bCs/>
                <w:sz w:val="28"/>
                <w:lang w:val="de-DE"/>
              </w:rPr>
            </w:pPr>
            <w:r w:rsidRPr="004F6402">
              <w:rPr>
                <w:bCs/>
                <w:sz w:val="28"/>
                <w:lang w:val="de-DE"/>
              </w:rPr>
              <w:t xml:space="preserve">Số       </w:t>
            </w:r>
            <w:r w:rsidR="00DA31F4" w:rsidRPr="004F6402">
              <w:rPr>
                <w:bCs/>
                <w:sz w:val="28"/>
                <w:lang w:val="de-DE"/>
              </w:rPr>
              <w:t xml:space="preserve">   </w:t>
            </w:r>
            <w:r w:rsidRPr="004F6402">
              <w:rPr>
                <w:bCs/>
                <w:sz w:val="28"/>
                <w:lang w:val="de-DE"/>
              </w:rPr>
              <w:t xml:space="preserve"> -TTr</w:t>
            </w:r>
            <w:r w:rsidR="008E5C5C" w:rsidRPr="004F6402">
              <w:rPr>
                <w:bCs/>
                <w:sz w:val="28"/>
                <w:lang w:val="de-DE"/>
              </w:rPr>
              <w:t>/ĐU</w:t>
            </w:r>
          </w:p>
        </w:tc>
        <w:tc>
          <w:tcPr>
            <w:tcW w:w="4819" w:type="dxa"/>
          </w:tcPr>
          <w:p w14:paraId="39AFB52D" w14:textId="77777777" w:rsidR="00093B6B" w:rsidRPr="004F6402" w:rsidRDefault="00ED3C95" w:rsidP="00E50F85">
            <w:pPr>
              <w:jc w:val="center"/>
              <w:rPr>
                <w:b/>
                <w:bCs/>
                <w:sz w:val="30"/>
                <w:szCs w:val="30"/>
                <w:lang w:val="de-DE"/>
              </w:rPr>
            </w:pPr>
            <w:r w:rsidRPr="004F6402">
              <w:rPr>
                <w:b/>
                <w:bCs/>
                <w:noProof/>
                <w:sz w:val="30"/>
                <w:szCs w:val="30"/>
              </w:rPr>
              <mc:AlternateContent>
                <mc:Choice Requires="wps">
                  <w:drawing>
                    <wp:anchor distT="0" distB="0" distL="114300" distR="114300" simplePos="0" relativeHeight="251660288" behindDoc="0" locked="0" layoutInCell="1" allowOverlap="1" wp14:anchorId="4B5DFC9C" wp14:editId="4E648B75">
                      <wp:simplePos x="0" y="0"/>
                      <wp:positionH relativeFrom="column">
                        <wp:posOffset>167310</wp:posOffset>
                      </wp:positionH>
                      <wp:positionV relativeFrom="paragraph">
                        <wp:posOffset>233680</wp:posOffset>
                      </wp:positionV>
                      <wp:extent cx="2600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003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938B0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pt,18.4pt" to="217.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" strokecolor="black [3200]">
                      <v:stroke joinstyle="miter"/>
                    </v:line>
                  </w:pict>
                </mc:Fallback>
              </mc:AlternateContent>
            </w:r>
            <w:r w:rsidR="00093B6B" w:rsidRPr="004F6402">
              <w:rPr>
                <w:b/>
                <w:bCs/>
                <w:sz w:val="30"/>
                <w:szCs w:val="30"/>
                <w:lang w:val="de-DE"/>
              </w:rPr>
              <w:t>ĐẢNG CỘNG SẢN VIỆT NAM</w:t>
            </w:r>
          </w:p>
          <w:p w14:paraId="64F9FEE8" w14:textId="77777777" w:rsidR="008E5C5C" w:rsidRPr="004F6402" w:rsidRDefault="008E5C5C" w:rsidP="00E50F85">
            <w:pPr>
              <w:jc w:val="center"/>
              <w:rPr>
                <w:b/>
                <w:bCs/>
                <w:sz w:val="30"/>
                <w:szCs w:val="30"/>
                <w:lang w:val="de-DE"/>
              </w:rPr>
            </w:pPr>
          </w:p>
          <w:p w14:paraId="68DC7CB5" w14:textId="7C6240F1" w:rsidR="008E5C5C" w:rsidRPr="004F6402" w:rsidRDefault="008E5C5C" w:rsidP="00E50F85">
            <w:pPr>
              <w:jc w:val="center"/>
              <w:rPr>
                <w:b/>
                <w:bCs/>
                <w:sz w:val="30"/>
                <w:szCs w:val="30"/>
                <w:lang w:val="de-DE"/>
              </w:rPr>
            </w:pPr>
          </w:p>
          <w:p w14:paraId="2D0FF256" w14:textId="79927FFB" w:rsidR="008E5C5C" w:rsidRPr="004F6402" w:rsidRDefault="00D176DC" w:rsidP="00EA0741">
            <w:pPr>
              <w:spacing w:after="20"/>
              <w:jc w:val="center"/>
              <w:rPr>
                <w:bCs/>
                <w:i/>
                <w:sz w:val="28"/>
                <w:lang w:val="de-DE"/>
              </w:rPr>
            </w:pPr>
            <w:r w:rsidRPr="004F6402">
              <w:rPr>
                <w:bCs/>
                <w:i/>
                <w:sz w:val="28"/>
                <w:lang w:val="de-DE"/>
              </w:rPr>
              <w:t xml:space="preserve">Lâm Đồng, ngày    </w:t>
            </w:r>
            <w:r w:rsidR="001E0C11" w:rsidRPr="004F6402">
              <w:rPr>
                <w:bCs/>
                <w:i/>
                <w:sz w:val="28"/>
                <w:lang w:val="de-DE"/>
              </w:rPr>
              <w:t xml:space="preserve"> </w:t>
            </w:r>
            <w:r w:rsidRPr="004F6402">
              <w:rPr>
                <w:bCs/>
                <w:i/>
                <w:sz w:val="28"/>
                <w:lang w:val="de-DE"/>
              </w:rPr>
              <w:t xml:space="preserve">  tháng </w:t>
            </w:r>
            <w:r w:rsidR="00154CA5">
              <w:rPr>
                <w:bCs/>
                <w:i/>
                <w:sz w:val="28"/>
                <w:lang w:val="de-DE"/>
              </w:rPr>
              <w:t>6</w:t>
            </w:r>
            <w:r w:rsidR="00134068" w:rsidRPr="004F6402">
              <w:rPr>
                <w:bCs/>
                <w:i/>
                <w:sz w:val="28"/>
                <w:lang w:val="de-DE"/>
              </w:rPr>
              <w:t xml:space="preserve"> năm 2026</w:t>
            </w:r>
          </w:p>
        </w:tc>
      </w:tr>
    </w:tbl>
    <w:p w14:paraId="2A2406AC" w14:textId="77777777" w:rsidR="003371C8" w:rsidRPr="004F6402" w:rsidRDefault="003371C8" w:rsidP="009958E2">
      <w:pPr>
        <w:autoSpaceDE w:val="0"/>
        <w:autoSpaceDN w:val="0"/>
        <w:spacing w:line="264" w:lineRule="auto"/>
        <w:ind w:left="1440" w:firstLine="720"/>
        <w:jc w:val="center"/>
        <w:rPr>
          <w:i/>
          <w:sz w:val="14"/>
        </w:rPr>
      </w:pPr>
    </w:p>
    <w:p w14:paraId="44341A57" w14:textId="77777777" w:rsidR="00A13895" w:rsidRPr="004F6402" w:rsidRDefault="00A13895" w:rsidP="009958E2">
      <w:pPr>
        <w:autoSpaceDE w:val="0"/>
        <w:autoSpaceDN w:val="0"/>
        <w:spacing w:line="264" w:lineRule="auto"/>
        <w:jc w:val="center"/>
        <w:rPr>
          <w:b/>
          <w:sz w:val="18"/>
        </w:rPr>
      </w:pPr>
    </w:p>
    <w:p w14:paraId="46639442" w14:textId="0505A268" w:rsidR="008E5C5C" w:rsidRPr="004F6402" w:rsidRDefault="008E5C5C" w:rsidP="009958E2">
      <w:pPr>
        <w:autoSpaceDE w:val="0"/>
        <w:autoSpaceDN w:val="0"/>
        <w:spacing w:line="264" w:lineRule="auto"/>
        <w:jc w:val="center"/>
        <w:rPr>
          <w:b/>
          <w:sz w:val="32"/>
        </w:rPr>
      </w:pPr>
      <w:r w:rsidRPr="004F6402">
        <w:rPr>
          <w:b/>
          <w:sz w:val="32"/>
        </w:rPr>
        <w:t>TỜ TRÌNH</w:t>
      </w:r>
    </w:p>
    <w:p w14:paraId="33727DF4" w14:textId="77777777" w:rsidR="00324CE4" w:rsidRDefault="003F0822" w:rsidP="00324CE4">
      <w:pPr>
        <w:autoSpaceDE w:val="0"/>
        <w:autoSpaceDN w:val="0"/>
        <w:spacing w:line="264" w:lineRule="auto"/>
        <w:jc w:val="center"/>
        <w:rPr>
          <w:b/>
          <w:sz w:val="28"/>
        </w:rPr>
      </w:pPr>
      <w:r w:rsidRPr="003F0822">
        <w:rPr>
          <w:b/>
          <w:sz w:val="28"/>
        </w:rPr>
        <w:t xml:space="preserve">về việc </w:t>
      </w:r>
      <w:r w:rsidR="00324CE4" w:rsidRPr="00324CE4">
        <w:rPr>
          <w:b/>
          <w:sz w:val="28"/>
        </w:rPr>
        <w:t>xin ý kiến việc ban hành Quyết định quy định giá tiêu thụ nước sạch sinh hoạt của Công ty cổ phần cấp thoát nước và xây dựng Bảo Lộc</w:t>
      </w:r>
    </w:p>
    <w:p w14:paraId="0E1D13C8" w14:textId="3B151925" w:rsidR="00150263" w:rsidRPr="004F6402" w:rsidRDefault="008E5C5C" w:rsidP="00324CE4">
      <w:pPr>
        <w:autoSpaceDE w:val="0"/>
        <w:autoSpaceDN w:val="0"/>
        <w:spacing w:line="264" w:lineRule="auto"/>
        <w:jc w:val="center"/>
        <w:rPr>
          <w:b/>
          <w:sz w:val="28"/>
        </w:rPr>
      </w:pPr>
      <w:r w:rsidRPr="004F6402">
        <w:rPr>
          <w:b/>
          <w:sz w:val="28"/>
        </w:rPr>
        <w:t>-----</w:t>
      </w:r>
    </w:p>
    <w:p w14:paraId="65D546E2" w14:textId="77777777" w:rsidR="004C4BA1" w:rsidRPr="004F6402" w:rsidRDefault="004C4BA1" w:rsidP="00A5211F">
      <w:pPr>
        <w:autoSpaceDE w:val="0"/>
        <w:autoSpaceDN w:val="0"/>
        <w:spacing w:before="120"/>
        <w:rPr>
          <w:i/>
          <w:sz w:val="6"/>
        </w:rPr>
      </w:pPr>
    </w:p>
    <w:p w14:paraId="454E8DCB" w14:textId="21E19679" w:rsidR="003C7F47" w:rsidRDefault="004C56F1" w:rsidP="003C7F47">
      <w:pPr>
        <w:autoSpaceDE w:val="0"/>
        <w:autoSpaceDN w:val="0"/>
        <w:spacing w:before="120"/>
        <w:jc w:val="center"/>
        <w:rPr>
          <w:sz w:val="28"/>
        </w:rPr>
      </w:pPr>
      <w:r w:rsidRPr="004F6402">
        <w:rPr>
          <w:i/>
          <w:sz w:val="28"/>
        </w:rPr>
        <w:t>Kính gửi:</w:t>
      </w:r>
      <w:r w:rsidR="009D0073" w:rsidRPr="004F6402">
        <w:rPr>
          <w:i/>
          <w:sz w:val="28"/>
        </w:rPr>
        <w:t xml:space="preserve"> </w:t>
      </w:r>
      <w:r w:rsidR="00D24CA2" w:rsidRPr="004F6402">
        <w:rPr>
          <w:sz w:val="28"/>
        </w:rPr>
        <w:t>Ban Thường vụ</w:t>
      </w:r>
      <w:r w:rsidR="003A3676" w:rsidRPr="004F6402">
        <w:rPr>
          <w:sz w:val="28"/>
        </w:rPr>
        <w:t xml:space="preserve"> Tỉnh ủy</w:t>
      </w:r>
      <w:r w:rsidR="00324CE4">
        <w:rPr>
          <w:sz w:val="28"/>
        </w:rPr>
        <w:t>.</w:t>
      </w:r>
    </w:p>
    <w:p w14:paraId="0CBAE188" w14:textId="77777777" w:rsidR="00E15A39" w:rsidRPr="004F6402" w:rsidRDefault="00E15A39" w:rsidP="00D55626">
      <w:pPr>
        <w:autoSpaceDE w:val="0"/>
        <w:autoSpaceDN w:val="0"/>
        <w:spacing w:before="120"/>
        <w:ind w:left="1440" w:firstLine="720"/>
        <w:jc w:val="center"/>
        <w:rPr>
          <w:sz w:val="2"/>
        </w:rPr>
      </w:pPr>
    </w:p>
    <w:p w14:paraId="6D49EF33" w14:textId="21ACB53A" w:rsidR="007A75E0" w:rsidRPr="004F6402" w:rsidRDefault="007A75E0" w:rsidP="00111F3D">
      <w:pPr>
        <w:widowControl w:val="0"/>
        <w:shd w:val="clear" w:color="auto" w:fill="FFFFFF"/>
        <w:spacing w:before="120" w:line="276" w:lineRule="auto"/>
        <w:ind w:firstLine="709"/>
        <w:jc w:val="both"/>
        <w:rPr>
          <w:sz w:val="6"/>
        </w:rPr>
      </w:pPr>
      <w:bookmarkStart w:id="0" w:name="_Hlk206050864"/>
    </w:p>
    <w:p w14:paraId="6C8F645D" w14:textId="77777777" w:rsidR="00D151EC" w:rsidRPr="000444A1" w:rsidRDefault="00D151EC" w:rsidP="00F93645">
      <w:pPr>
        <w:spacing w:before="120" w:line="264" w:lineRule="auto"/>
        <w:ind w:firstLine="567"/>
        <w:jc w:val="both"/>
        <w:rPr>
          <w:noProof/>
          <w:sz w:val="10"/>
          <w:lang w:val="en-AU"/>
        </w:rPr>
      </w:pPr>
    </w:p>
    <w:p w14:paraId="240E2167" w14:textId="77777777" w:rsidR="00881260" w:rsidRPr="00881260" w:rsidRDefault="00881260" w:rsidP="00881260">
      <w:pPr>
        <w:spacing w:before="120" w:line="264" w:lineRule="auto"/>
        <w:ind w:firstLine="709"/>
        <w:jc w:val="both"/>
        <w:rPr>
          <w:rFonts w:eastAsia="SimSun"/>
          <w:sz w:val="28"/>
          <w:szCs w:val="20"/>
        </w:rPr>
      </w:pPr>
      <w:r w:rsidRPr="00881260">
        <w:rPr>
          <w:rFonts w:eastAsia="SimSun"/>
          <w:sz w:val="28"/>
          <w:szCs w:val="20"/>
        </w:rPr>
        <w:t xml:space="preserve">Căn cứ </w:t>
      </w:r>
      <w:r w:rsidRPr="00881260">
        <w:rPr>
          <w:sz w:val="28"/>
        </w:rPr>
        <w:t>Quy</w:t>
      </w:r>
      <w:r w:rsidRPr="00881260">
        <w:rPr>
          <w:rFonts w:eastAsia="SimSun"/>
          <w:sz w:val="28"/>
          <w:szCs w:val="20"/>
        </w:rPr>
        <w:t xml:space="preserve"> chế làm việc số 05-QC/TU, ngày 19/12/2025 của Ban Chấp hành Đảng bộ tỉnh Lâm Đồng nhiệm kỳ 2025 - 2030</w:t>
      </w:r>
      <w:r w:rsidRPr="00881260">
        <w:rPr>
          <w:rFonts w:eastAsia="SimSun"/>
          <w:b/>
          <w:sz w:val="28"/>
          <w:szCs w:val="20"/>
          <w:vertAlign w:val="superscript"/>
        </w:rPr>
        <w:footnoteReference w:id="1"/>
      </w:r>
      <w:r w:rsidRPr="00881260">
        <w:rPr>
          <w:rFonts w:eastAsia="SimSun"/>
          <w:sz w:val="28"/>
          <w:szCs w:val="20"/>
        </w:rPr>
        <w:t>;</w:t>
      </w:r>
    </w:p>
    <w:p w14:paraId="4D242969" w14:textId="1FFDC81A" w:rsidR="00881260" w:rsidRPr="00881260" w:rsidRDefault="00881260" w:rsidP="00881260">
      <w:pPr>
        <w:spacing w:before="120" w:line="264" w:lineRule="auto"/>
        <w:ind w:firstLine="709"/>
        <w:jc w:val="both"/>
        <w:rPr>
          <w:sz w:val="28"/>
        </w:rPr>
      </w:pPr>
      <w:r w:rsidRPr="00881260">
        <w:rPr>
          <w:sz w:val="28"/>
        </w:rPr>
        <w:t>Trên cơ sở đề xuất của UBND tỉnh</w:t>
      </w:r>
      <w:r w:rsidR="00AF1F98" w:rsidRPr="007C5BA4">
        <w:rPr>
          <w:rStyle w:val="FootnoteReference"/>
          <w:b/>
          <w:sz w:val="28"/>
        </w:rPr>
        <w:footnoteReference w:id="2"/>
      </w:r>
      <w:r w:rsidRPr="00881260">
        <w:rPr>
          <w:sz w:val="28"/>
        </w:rPr>
        <w:t>; Ban Thường vụ Đảng ủy UBND tỉnh trình Ban Thường vụ Tỉnh ủy xem xét, cho ý kiến ban hành Quyết định quy định giá tiêu thụ nước sạch sinh hoạt của Công ty cổ phần cấp thoát nước và xây dựng Bảo Lộc, cụ thể như sau:</w:t>
      </w:r>
    </w:p>
    <w:p w14:paraId="7F55756F" w14:textId="77777777" w:rsidR="00881260" w:rsidRPr="00881260" w:rsidRDefault="00881260" w:rsidP="00881260">
      <w:pPr>
        <w:widowControl w:val="0"/>
        <w:autoSpaceDE w:val="0"/>
        <w:autoSpaceDN w:val="0"/>
        <w:adjustRightInd w:val="0"/>
        <w:spacing w:before="120" w:line="264" w:lineRule="auto"/>
        <w:ind w:firstLine="709"/>
        <w:jc w:val="both"/>
        <w:rPr>
          <w:b/>
          <w:sz w:val="28"/>
        </w:rPr>
      </w:pPr>
      <w:r w:rsidRPr="00881260">
        <w:rPr>
          <w:b/>
          <w:sz w:val="28"/>
        </w:rPr>
        <w:t>I. SỰ CẦN THIẾT BAN HÀNH VĂN BẢN:</w:t>
      </w:r>
    </w:p>
    <w:p w14:paraId="0C8730CB"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xml:space="preserve">1. Theo quy định tại khoản 4 Điều 21 và phụ lục số 02 Luật Giá số 16/2023/QH15 ngày 19/06/2024 của Quốc hội </w:t>
      </w:r>
      <w:r w:rsidRPr="00881260">
        <w:rPr>
          <w:i/>
          <w:sz w:val="28"/>
        </w:rPr>
        <w:t>“4. Danh mục hàng hóa, dịch vụ do Nhà nước định giá, hình thức định giá và thẩm quyền, trách nhiệm định giá được quy định tại Phụ lục số 02 kèm theo Luật này….”</w:t>
      </w:r>
      <w:r w:rsidRPr="00881260">
        <w:rPr>
          <w:sz w:val="28"/>
        </w:rPr>
        <w:t>. Tại số thứ tự số 15 phụ lục số 02 danh mục hàng hoá, dịch vụ do nhà nước định giá thì nước sạch do Uỷ ban nhân dân cấp tỉnh định giá cụ thể.</w:t>
      </w:r>
    </w:p>
    <w:p w14:paraId="39678CD3"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xml:space="preserve">2. Theo quy định tại khoản 1 Điều 2 Thông tư số 145/2025/TT-BTC ngày 31/12/2025 của Bộ Tài chính quy định: </w:t>
      </w:r>
      <w:r w:rsidRPr="00881260">
        <w:rPr>
          <w:i/>
          <w:iCs/>
          <w:sz w:val="28"/>
        </w:rPr>
        <w:t>“1. Đơn vị cấp nước thực hiện lập phương án giá nước sạch; cơ quan thẩm định phương án giá nước sạch, phê duyệt phương án giá nước sạch, ban hành văn bản định giá, điều chỉnh giá nước sạch theo quy định của pháp luật và khách hàng sử dụng nước sạch.”</w:t>
      </w:r>
    </w:p>
    <w:p w14:paraId="54925384"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xml:space="preserve">- Tại điểm b, khoản 2 Điều 10 Nghị định số 85/2024/NĐ-CP ngày 10/7/2024 của Chính phủ quy định: </w:t>
      </w:r>
      <w:r w:rsidRPr="00881260">
        <w:rPr>
          <w:i/>
          <w:iCs/>
          <w:sz w:val="28"/>
        </w:rPr>
        <w:t xml:space="preserve">“b) Đối với hàng hóa, dịch vụ quy định tại điểm b, điểm c, điểm d, điểm đ khoản 1 Điều 9 của Nghị định này: Bộ, cơ quan ngang bộ phân công cơ quan, </w:t>
      </w:r>
      <w:r w:rsidRPr="00881260">
        <w:rPr>
          <w:i/>
          <w:iCs/>
          <w:sz w:val="28"/>
        </w:rPr>
        <w:lastRenderedPageBreak/>
        <w:t>đơn vị trực thuộc thực hiện việc thẩm định phương án giá;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phương án giá, đảm bảo phù hợp với yêu cầu công tác quản lý nhà nước về giá tại địa phương và quy định của </w:t>
      </w:r>
      <w:hyperlink r:id="rId8" w:tgtFrame="_blank" w:history="1">
        <w:r w:rsidRPr="00881260">
          <w:rPr>
            <w:i/>
            <w:iCs/>
            <w:sz w:val="28"/>
          </w:rPr>
          <w:t>Luật Tổ chức chính quyền địa phương</w:t>
        </w:r>
      </w:hyperlink>
      <w:r w:rsidRPr="00881260">
        <w:rPr>
          <w:i/>
          <w:iCs/>
          <w:sz w:val="28"/>
        </w:rPr>
        <w:t>.”</w:t>
      </w:r>
    </w:p>
    <w:p w14:paraId="0C9AD921"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Theo quy định tại tiết 1.2, điểm 1, tiểu mục III.1, mục III Phụ lục ban hành kèm theo Quyết định số 34/2025/QĐ-UBND ngày 04/11/2025 của UBND tỉnh quy định phân công nhiệm vụ quản lý nhà nước về giá trên địa bàn tỉnh Lâm Đồng thì việc định giá cụ thể theo khung giá, giá tối đa của Bộ đối với hàng hoá nước sinh hoạt đô thị do Sở Xây dựng thực hiện thẩm định phương án giá.</w:t>
      </w:r>
    </w:p>
    <w:p w14:paraId="2B88893A"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3. Đối với giá bán lẻ nước sạch sinh hoạt của Công ty Cổ phần cấp thoát nước và xây dựng Bảo Lộc đã được phê duyệt tại Quyết định số 46/2011/QĐ-UBND ngày 22/8/2011 của UBND tỉnh Lâm Đồng, áp dụng từ năm 2011 đến nay. Do vậy, cần thiết phải ban hành văn bản định giá đối với nước sạch sinh hoạt để có cơ sở cho Công ty Cổ phần cấp thoát nước và xây dựng Bảo Lộc tiếp tục thực hiện.</w:t>
      </w:r>
    </w:p>
    <w:p w14:paraId="30053F6D" w14:textId="77777777" w:rsidR="00881260" w:rsidRPr="00881260" w:rsidRDefault="00881260" w:rsidP="00881260">
      <w:pPr>
        <w:widowControl w:val="0"/>
        <w:autoSpaceDE w:val="0"/>
        <w:autoSpaceDN w:val="0"/>
        <w:adjustRightInd w:val="0"/>
        <w:spacing w:before="120" w:line="264" w:lineRule="auto"/>
        <w:ind w:firstLine="709"/>
        <w:jc w:val="both"/>
        <w:rPr>
          <w:b/>
          <w:sz w:val="28"/>
        </w:rPr>
      </w:pPr>
      <w:r w:rsidRPr="00881260">
        <w:rPr>
          <w:b/>
          <w:sz w:val="28"/>
        </w:rPr>
        <w:t>II. MỤC ĐÍCH, QUAN ĐIỂM CHỈ ĐẠO XÂY DỰNG DỰ THẢO VĂN BẢN:</w:t>
      </w:r>
    </w:p>
    <w:p w14:paraId="545F0BC4"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b/>
          <w:sz w:val="28"/>
        </w:rPr>
        <w:t xml:space="preserve">1. Mục đích: </w:t>
      </w:r>
      <w:r w:rsidRPr="00881260">
        <w:rPr>
          <w:sz w:val="28"/>
        </w:rPr>
        <w:t>Đảm bảo phù hợp các chi phí, yếu tố giá đầu vào, tình hình sản xuất thực tế của Công ty Cổ phần cấp thoát nước và xây dựng Bảo Lộc.</w:t>
      </w:r>
    </w:p>
    <w:p w14:paraId="5D534FDE" w14:textId="77777777" w:rsidR="00881260" w:rsidRPr="00881260" w:rsidRDefault="00881260" w:rsidP="00881260">
      <w:pPr>
        <w:widowControl w:val="0"/>
        <w:autoSpaceDE w:val="0"/>
        <w:autoSpaceDN w:val="0"/>
        <w:adjustRightInd w:val="0"/>
        <w:spacing w:before="120" w:line="264" w:lineRule="auto"/>
        <w:ind w:firstLine="709"/>
        <w:jc w:val="both"/>
        <w:rPr>
          <w:b/>
          <w:sz w:val="28"/>
        </w:rPr>
      </w:pPr>
      <w:r w:rsidRPr="00881260">
        <w:rPr>
          <w:b/>
          <w:sz w:val="28"/>
        </w:rPr>
        <w:t>2. Quan điểm:</w:t>
      </w:r>
    </w:p>
    <w:p w14:paraId="602BE68A"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a) Tính đúng, đủ theo quy định; không vượt quá khung tối đa quy định tại Nghị định số 85/2024/NĐ-CP ngày 10/7/2024 của Chính phủ Quy định chi tiết một số điều của Luật Giá; các Thông tư của Bộ Tài chính: số 45/2024/TT-BTC ngày 01/7/2024 ban hành phương pháp định giá chung đối với hàng hoá, dịch vụ do nhà nước định giá; số 145/2025/TT-BTC ngày 31/12/2025 hướng dẫn các nội dung đặc thù khi áp dụng phương pháp định giá chung đối với hàng hóa, dịch vụ do Nhà nước định giá trong định giá nước sạch.</w:t>
      </w:r>
    </w:p>
    <w:p w14:paraId="0F3835BF"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b) Xem xét hài hòa giữa khả năng chi trả của người sử dụng nước, bảo đảm các đơn vị tham gia kinh doanh cung cấp nước sạch bù đắp được chi phí sản xuất và có lãi.</w:t>
      </w:r>
    </w:p>
    <w:p w14:paraId="7A728C4B"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c) Phù hợp với điều kiện, tình hình cụ thể của địa phương, không điều chỉnh đột biến và đảm bảo an sinh xã hội tại địa phương.</w:t>
      </w:r>
    </w:p>
    <w:p w14:paraId="177D0406" w14:textId="77777777" w:rsidR="00881260" w:rsidRPr="00881260" w:rsidRDefault="00881260" w:rsidP="00881260">
      <w:pPr>
        <w:widowControl w:val="0"/>
        <w:autoSpaceDE w:val="0"/>
        <w:autoSpaceDN w:val="0"/>
        <w:adjustRightInd w:val="0"/>
        <w:spacing w:before="120" w:line="264" w:lineRule="auto"/>
        <w:ind w:firstLine="709"/>
        <w:jc w:val="both"/>
        <w:rPr>
          <w:b/>
          <w:sz w:val="28"/>
        </w:rPr>
      </w:pPr>
      <w:r w:rsidRPr="00881260">
        <w:rPr>
          <w:b/>
          <w:sz w:val="28"/>
        </w:rPr>
        <w:t>III. QUÁ TRÌNH XÂY DỰNG DỰ THẢO VĂN BẢN:</w:t>
      </w:r>
    </w:p>
    <w:p w14:paraId="32100783"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xml:space="preserve">- Trên cơ sở phương án nước của Công ty Cổ phần cấp thoát nước và xây dựng Bảo Lộc tại văn bản số 123/TTr-CTNBL ngày 25/3/2026 về việc phê duyệt phương án </w:t>
      </w:r>
      <w:r w:rsidRPr="00881260">
        <w:rPr>
          <w:sz w:val="28"/>
        </w:rPr>
        <w:lastRenderedPageBreak/>
        <w:t>giá nước sinh hoạt.</w:t>
      </w:r>
    </w:p>
    <w:p w14:paraId="2BFD024F"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Ngày 27/3/2026, UBND tỉnh đã có Văn bản số 4059/UBND-XDCT ngày 27/3/2026 về việc rà soát, tham mưu ban hành giá tiêu thụ nước sạch của Công ty cổ phần cấp thoát nước và xây dựng Bảo Lộc.</w:t>
      </w:r>
    </w:p>
    <w:p w14:paraId="244E62BF"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Sở Xây dựng ban hành văn bản số 2227/SXD-QLXD ngày 27/3/2026 về việc góp ý rà soát giải trình, tiếp thu về phương án giá bán lẻ nước sạch của Công ty Cổ phần cấp thoát nước và xây dựng Bảo Lộc, gửi các Sở: Tài chính, Nội vụ, Nông nghiệp và Môi trường và UBND các phường: Phường 1 Bảo Lộc, Phường 2 Bảo Lộc, Phường 3 Bảo Lộc, Phường B’Lao.</w:t>
      </w:r>
    </w:p>
    <w:p w14:paraId="6E2F0F41"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Trên cơ sở biên bản cuộc họp ngày 13/3/2026, các ý kiến góp ý của Sở Tài chính tại văn bản số 2893/STC-GCS ngày 03/4/2026; Sở Nông nghiệp và Môi trường tại văn bản số 4099/SNNMT-TLTNN ngày 08/4/2026; Sở Nội vụ tại văn bản số 1582/SNV-LĐVL&amp;TN ngày 01/4/2026; UBND các phường: Phường 1 Bảo Lộc; Phường 2 Bảo Lộc; Phường 3 Bảo Lộc; Phường B’Lao, Sở Xây dựng tổ chức hoàn thiện báo cáo thẩm định và dự thảo Quyết định phê duyệt giá bán lẻ nước sạch sinh hoạt của Công ty Cổ phần cấp thoát nước và xây dựng Bảo Lộc</w:t>
      </w:r>
      <w:r w:rsidRPr="00881260">
        <w:rPr>
          <w:sz w:val="28"/>
        </w:rPr>
        <w:softHyphen/>
      </w:r>
      <w:r w:rsidRPr="00881260">
        <w:rPr>
          <w:sz w:val="28"/>
        </w:rPr>
        <w:softHyphen/>
      </w:r>
      <w:r w:rsidRPr="00881260">
        <w:rPr>
          <w:sz w:val="28"/>
        </w:rPr>
        <w:softHyphen/>
      </w:r>
      <w:r w:rsidRPr="00881260">
        <w:rPr>
          <w:sz w:val="28"/>
        </w:rPr>
        <w:softHyphen/>
      </w:r>
      <w:r w:rsidRPr="00881260">
        <w:rPr>
          <w:sz w:val="28"/>
        </w:rPr>
        <w:softHyphen/>
      </w:r>
      <w:r w:rsidRPr="00881260">
        <w:rPr>
          <w:sz w:val="28"/>
        </w:rPr>
        <w:softHyphen/>
      </w:r>
      <w:r w:rsidRPr="00881260">
        <w:rPr>
          <w:sz w:val="28"/>
        </w:rPr>
        <w:softHyphen/>
        <w:t xml:space="preserve"> trình UBND tỉnh ban hành theo quy định.</w:t>
      </w:r>
    </w:p>
    <w:p w14:paraId="1E691099" w14:textId="77777777" w:rsidR="00881260" w:rsidRPr="00881260" w:rsidRDefault="00881260" w:rsidP="00881260">
      <w:pPr>
        <w:widowControl w:val="0"/>
        <w:autoSpaceDE w:val="0"/>
        <w:autoSpaceDN w:val="0"/>
        <w:adjustRightInd w:val="0"/>
        <w:spacing w:before="120" w:line="264" w:lineRule="auto"/>
        <w:ind w:firstLine="709"/>
        <w:jc w:val="both"/>
        <w:rPr>
          <w:sz w:val="28"/>
        </w:rPr>
      </w:pPr>
      <w:r w:rsidRPr="00881260">
        <w:rPr>
          <w:sz w:val="28"/>
        </w:rPr>
        <w:t>- Ngày 16/4/2026, Sở Xây dựng có Tờ trình số 419/TTr-SXD báo cáo, đề xuất UBND tỉnh xem xét, ban hành Quyết định phê duyệt giá bán lẻ nước sạch sinh hoạt của Công ty cổ phần cấp thoát nước và xây dựng Bảo Lộc (đính kèm Báo cáo thẩm định phương án giá số 74/BC-SXD ngày 15/4/2026).</w:t>
      </w:r>
    </w:p>
    <w:p w14:paraId="3FAE8B48" w14:textId="77777777" w:rsidR="00881260" w:rsidRPr="00881260" w:rsidRDefault="00881260" w:rsidP="00881260">
      <w:pPr>
        <w:spacing w:before="120" w:line="264" w:lineRule="auto"/>
        <w:ind w:firstLine="709"/>
        <w:jc w:val="both"/>
        <w:rPr>
          <w:sz w:val="28"/>
        </w:rPr>
      </w:pPr>
      <w:r w:rsidRPr="00881260">
        <w:rPr>
          <w:sz w:val="28"/>
        </w:rPr>
        <w:t xml:space="preserve">- Ngày 23/4/2026, Văn phòng Ủy ban nhân dân tỉnh có Công văn số 1741/VP-XDCT xin ý kiến các đồng chí Thành viên UBND tỉnh về dự thảo Quyết định. Kết quả nhận được 19/23 phiếu </w:t>
      </w:r>
      <w:r w:rsidRPr="00881260">
        <w:rPr>
          <w:i/>
          <w:iCs/>
          <w:sz w:val="28"/>
        </w:rPr>
        <w:t>(trong đó, có 8 phiếu tán thành hoàn toàn, 11 phiếu tán thành).</w:t>
      </w:r>
    </w:p>
    <w:p w14:paraId="262230DC" w14:textId="77777777" w:rsidR="00881260" w:rsidRPr="00881260" w:rsidRDefault="00881260" w:rsidP="00881260">
      <w:pPr>
        <w:spacing w:before="120" w:line="264" w:lineRule="auto"/>
        <w:ind w:firstLine="709"/>
        <w:jc w:val="both"/>
        <w:rPr>
          <w:sz w:val="28"/>
        </w:rPr>
      </w:pPr>
      <w:r w:rsidRPr="00881260">
        <w:rPr>
          <w:sz w:val="28"/>
        </w:rPr>
        <w:t>Như vậy, quy trình thực hiện ban hành Quyết định quy định giá tiêu thụ nước sạch sinh hoạt của Công ty cổ phần cấp thoát nước và xây dựng Bảo Lộc là phù hợp theo quy định và Quyết định số 34/2025/QĐ-UBND ngày 04/11/2025 của UBND tỉnh quy định phân công nhiệm vụ quản lý nhà nước về giá trên địa bàn tỉnh Lâm Đồng.</w:t>
      </w:r>
    </w:p>
    <w:p w14:paraId="08B92A63" w14:textId="77777777" w:rsidR="00881260" w:rsidRPr="00881260" w:rsidRDefault="00881260" w:rsidP="00881260">
      <w:pPr>
        <w:snapToGrid w:val="0"/>
        <w:spacing w:before="120" w:line="264" w:lineRule="auto"/>
        <w:ind w:firstLine="709"/>
        <w:jc w:val="both"/>
        <w:rPr>
          <w:b/>
          <w:bCs/>
          <w:sz w:val="28"/>
          <w:szCs w:val="20"/>
        </w:rPr>
      </w:pPr>
      <w:r w:rsidRPr="00881260">
        <w:rPr>
          <w:b/>
          <w:sz w:val="28"/>
          <w:lang w:val="nl-NL"/>
        </w:rPr>
        <w:t xml:space="preserve">IV. </w:t>
      </w:r>
      <w:r w:rsidRPr="00881260">
        <w:rPr>
          <w:b/>
          <w:bCs/>
          <w:sz w:val="28"/>
          <w:szCs w:val="20"/>
          <w:lang w:val="vi-VN"/>
        </w:rPr>
        <w:t>CÁC MỨC GIÁ ĐỀ XUẤT UBND TỈNH PHÊ DUYỆT</w:t>
      </w:r>
    </w:p>
    <w:p w14:paraId="429BCFDD" w14:textId="77777777" w:rsidR="00881260" w:rsidRPr="00881260" w:rsidRDefault="00881260" w:rsidP="00881260">
      <w:pPr>
        <w:adjustRightInd w:val="0"/>
        <w:snapToGrid w:val="0"/>
        <w:spacing w:before="120" w:line="264" w:lineRule="auto"/>
        <w:ind w:firstLine="709"/>
        <w:jc w:val="both"/>
        <w:rPr>
          <w:sz w:val="28"/>
        </w:rPr>
      </w:pPr>
      <w:r w:rsidRPr="00881260">
        <w:rPr>
          <w:sz w:val="28"/>
        </w:rPr>
        <w:t>1. Trên cơ sở thẩm định phương án giá, Sở Xây dựng đề nghị giá bản lẻ nước sạch như sau:</w:t>
      </w:r>
    </w:p>
    <w:p w14:paraId="6E821817" w14:textId="77777777" w:rsidR="00881260" w:rsidRPr="00881260" w:rsidRDefault="00881260" w:rsidP="00881260">
      <w:pPr>
        <w:adjustRightInd w:val="0"/>
        <w:snapToGrid w:val="0"/>
        <w:spacing w:before="120" w:line="264" w:lineRule="auto"/>
        <w:ind w:firstLine="709"/>
        <w:jc w:val="both"/>
        <w:rPr>
          <w:sz w:val="28"/>
        </w:rPr>
      </w:pPr>
      <w:r w:rsidRPr="00881260">
        <w:rPr>
          <w:sz w:val="28"/>
        </w:rPr>
        <w:t>a)  Giá bản lẻ nước sạch bình quân: 11.552 đồng (chưa bao gồm thuế giá trị gia tăng) và mức lợi nhuận của một (01) m</w:t>
      </w:r>
      <w:r w:rsidRPr="00881260">
        <w:rPr>
          <w:sz w:val="28"/>
          <w:vertAlign w:val="superscript"/>
        </w:rPr>
        <w:t>3</w:t>
      </w:r>
      <w:r w:rsidRPr="00881260">
        <w:rPr>
          <w:sz w:val="28"/>
        </w:rPr>
        <w:t xml:space="preserve"> nước sạch: 452 đồng/m</w:t>
      </w:r>
      <w:r w:rsidRPr="00881260">
        <w:rPr>
          <w:sz w:val="28"/>
          <w:vertAlign w:val="superscript"/>
        </w:rPr>
        <w:t>3</w:t>
      </w:r>
      <w:r w:rsidRPr="00881260">
        <w:rPr>
          <w:sz w:val="28"/>
        </w:rPr>
        <w:t>.</w:t>
      </w:r>
    </w:p>
    <w:p w14:paraId="0FE31D26" w14:textId="77777777" w:rsidR="00881260" w:rsidRPr="00881260" w:rsidRDefault="00881260" w:rsidP="00881260">
      <w:pPr>
        <w:adjustRightInd w:val="0"/>
        <w:snapToGrid w:val="0"/>
        <w:spacing w:before="120" w:line="264" w:lineRule="auto"/>
        <w:ind w:firstLine="709"/>
        <w:jc w:val="both"/>
        <w:rPr>
          <w:sz w:val="28"/>
        </w:rPr>
      </w:pPr>
      <w:r w:rsidRPr="00881260">
        <w:rPr>
          <w:sz w:val="28"/>
        </w:rPr>
        <w:t>b) Giá bán lẻ nước sạch (chưa bao gồm thuế giá trị gia tăng) cho từng nhóm khách hàng như sau:</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842"/>
        <w:gridCol w:w="1276"/>
        <w:gridCol w:w="1134"/>
        <w:gridCol w:w="1276"/>
        <w:gridCol w:w="1134"/>
      </w:tblGrid>
      <w:tr w:rsidR="00881260" w:rsidRPr="00881260" w14:paraId="323470EB" w14:textId="77777777" w:rsidTr="00CB49FE">
        <w:trPr>
          <w:tblHeader/>
        </w:trPr>
        <w:tc>
          <w:tcPr>
            <w:tcW w:w="1101" w:type="dxa"/>
            <w:vAlign w:val="center"/>
          </w:tcPr>
          <w:p w14:paraId="16E1F8C6" w14:textId="77777777" w:rsidR="00881260" w:rsidRPr="00881260" w:rsidRDefault="00881260" w:rsidP="00881260">
            <w:pPr>
              <w:adjustRightInd w:val="0"/>
              <w:snapToGrid w:val="0"/>
              <w:jc w:val="center"/>
              <w:rPr>
                <w:b/>
                <w:sz w:val="23"/>
                <w:szCs w:val="23"/>
              </w:rPr>
            </w:pPr>
            <w:r w:rsidRPr="00881260">
              <w:rPr>
                <w:b/>
                <w:sz w:val="23"/>
                <w:szCs w:val="23"/>
              </w:rPr>
              <w:lastRenderedPageBreak/>
              <w:t>STT</w:t>
            </w:r>
          </w:p>
        </w:tc>
        <w:tc>
          <w:tcPr>
            <w:tcW w:w="1701" w:type="dxa"/>
            <w:vAlign w:val="center"/>
          </w:tcPr>
          <w:p w14:paraId="76117FB8" w14:textId="77777777" w:rsidR="00881260" w:rsidRPr="00881260" w:rsidRDefault="00881260" w:rsidP="00881260">
            <w:pPr>
              <w:adjustRightInd w:val="0"/>
              <w:snapToGrid w:val="0"/>
              <w:jc w:val="center"/>
              <w:rPr>
                <w:b/>
                <w:sz w:val="23"/>
                <w:szCs w:val="23"/>
              </w:rPr>
            </w:pPr>
            <w:r w:rsidRPr="00881260">
              <w:rPr>
                <w:b/>
                <w:sz w:val="23"/>
                <w:szCs w:val="23"/>
              </w:rPr>
              <w:t>Nhóm khách hàng sử dụng nước sạch</w:t>
            </w:r>
          </w:p>
        </w:tc>
        <w:tc>
          <w:tcPr>
            <w:tcW w:w="1842" w:type="dxa"/>
            <w:vAlign w:val="center"/>
          </w:tcPr>
          <w:p w14:paraId="185DB41A" w14:textId="77777777" w:rsidR="00881260" w:rsidRPr="00881260" w:rsidRDefault="00881260" w:rsidP="00881260">
            <w:pPr>
              <w:adjustRightInd w:val="0"/>
              <w:snapToGrid w:val="0"/>
              <w:jc w:val="center"/>
              <w:rPr>
                <w:b/>
                <w:sz w:val="23"/>
                <w:szCs w:val="23"/>
              </w:rPr>
            </w:pPr>
            <w:r w:rsidRPr="00881260">
              <w:rPr>
                <w:b/>
                <w:sz w:val="23"/>
                <w:szCs w:val="23"/>
              </w:rPr>
              <w:t>Lượng nước sạch sử dụng/tháng</w:t>
            </w:r>
          </w:p>
        </w:tc>
        <w:tc>
          <w:tcPr>
            <w:tcW w:w="1276" w:type="dxa"/>
            <w:vAlign w:val="center"/>
          </w:tcPr>
          <w:p w14:paraId="5DD2FF78" w14:textId="77777777" w:rsidR="00881260" w:rsidRPr="00881260" w:rsidRDefault="00881260" w:rsidP="00881260">
            <w:pPr>
              <w:adjustRightInd w:val="0"/>
              <w:snapToGrid w:val="0"/>
              <w:jc w:val="center"/>
              <w:rPr>
                <w:b/>
                <w:sz w:val="23"/>
                <w:szCs w:val="23"/>
              </w:rPr>
            </w:pPr>
            <w:r w:rsidRPr="00881260">
              <w:rPr>
                <w:b/>
                <w:sz w:val="23"/>
                <w:szCs w:val="23"/>
              </w:rPr>
              <w:t>Hệ số (TT 145/2025/TT-BTC)</w:t>
            </w:r>
          </w:p>
        </w:tc>
        <w:tc>
          <w:tcPr>
            <w:tcW w:w="1134" w:type="dxa"/>
            <w:vAlign w:val="center"/>
          </w:tcPr>
          <w:p w14:paraId="029F7703" w14:textId="77777777" w:rsidR="00881260" w:rsidRPr="00881260" w:rsidRDefault="00881260" w:rsidP="00881260">
            <w:pPr>
              <w:adjustRightInd w:val="0"/>
              <w:snapToGrid w:val="0"/>
              <w:jc w:val="center"/>
              <w:rPr>
                <w:b/>
                <w:sz w:val="23"/>
                <w:szCs w:val="23"/>
              </w:rPr>
            </w:pPr>
            <w:r w:rsidRPr="00881260">
              <w:rPr>
                <w:b/>
                <w:sz w:val="23"/>
                <w:szCs w:val="23"/>
              </w:rPr>
              <w:t>Đơn giá theo hệ số (đồng)</w:t>
            </w:r>
          </w:p>
        </w:tc>
        <w:tc>
          <w:tcPr>
            <w:tcW w:w="1276" w:type="dxa"/>
            <w:vAlign w:val="center"/>
          </w:tcPr>
          <w:p w14:paraId="3AA56E74" w14:textId="77777777" w:rsidR="00881260" w:rsidRPr="00881260" w:rsidRDefault="00881260" w:rsidP="00881260">
            <w:pPr>
              <w:adjustRightInd w:val="0"/>
              <w:snapToGrid w:val="0"/>
              <w:jc w:val="center"/>
              <w:rPr>
                <w:b/>
                <w:sz w:val="23"/>
                <w:szCs w:val="23"/>
              </w:rPr>
            </w:pPr>
            <w:r w:rsidRPr="00881260">
              <w:rPr>
                <w:b/>
                <w:sz w:val="23"/>
                <w:szCs w:val="23"/>
              </w:rPr>
              <w:t>Giá bán đề nghị phê duyệt (đồng)</w:t>
            </w:r>
          </w:p>
        </w:tc>
        <w:tc>
          <w:tcPr>
            <w:tcW w:w="1134" w:type="dxa"/>
            <w:vAlign w:val="center"/>
          </w:tcPr>
          <w:p w14:paraId="778B331A" w14:textId="77777777" w:rsidR="00881260" w:rsidRPr="00881260" w:rsidRDefault="00881260" w:rsidP="00881260">
            <w:pPr>
              <w:adjustRightInd w:val="0"/>
              <w:snapToGrid w:val="0"/>
              <w:jc w:val="center"/>
              <w:rPr>
                <w:b/>
                <w:sz w:val="23"/>
                <w:szCs w:val="23"/>
              </w:rPr>
            </w:pPr>
            <w:r w:rsidRPr="00881260">
              <w:rPr>
                <w:b/>
                <w:sz w:val="23"/>
                <w:szCs w:val="23"/>
              </w:rPr>
              <w:t>Hệ số thực hiện</w:t>
            </w:r>
          </w:p>
        </w:tc>
      </w:tr>
      <w:tr w:rsidR="00881260" w:rsidRPr="00881260" w14:paraId="091A130B" w14:textId="77777777" w:rsidTr="00CB49FE">
        <w:tc>
          <w:tcPr>
            <w:tcW w:w="1101" w:type="dxa"/>
            <w:vMerge w:val="restart"/>
            <w:vAlign w:val="center"/>
          </w:tcPr>
          <w:p w14:paraId="20DCC69B" w14:textId="77777777" w:rsidR="00881260" w:rsidRPr="00881260" w:rsidRDefault="00881260" w:rsidP="00881260">
            <w:pPr>
              <w:adjustRightInd w:val="0"/>
              <w:snapToGrid w:val="0"/>
              <w:jc w:val="both"/>
              <w:rPr>
                <w:b/>
                <w:sz w:val="23"/>
                <w:szCs w:val="23"/>
              </w:rPr>
            </w:pPr>
            <w:r w:rsidRPr="00881260">
              <w:rPr>
                <w:b/>
                <w:sz w:val="23"/>
                <w:szCs w:val="23"/>
              </w:rPr>
              <w:t>Nhóm 1</w:t>
            </w:r>
          </w:p>
        </w:tc>
        <w:tc>
          <w:tcPr>
            <w:tcW w:w="1701" w:type="dxa"/>
            <w:vMerge w:val="restart"/>
            <w:vAlign w:val="center"/>
          </w:tcPr>
          <w:p w14:paraId="50BBFCFA" w14:textId="77777777" w:rsidR="00881260" w:rsidRPr="00881260" w:rsidRDefault="00881260" w:rsidP="00881260">
            <w:pPr>
              <w:jc w:val="both"/>
              <w:rPr>
                <w:b/>
                <w:sz w:val="23"/>
                <w:szCs w:val="23"/>
              </w:rPr>
            </w:pPr>
            <w:r w:rsidRPr="00881260">
              <w:rPr>
                <w:b/>
                <w:sz w:val="23"/>
                <w:szCs w:val="23"/>
              </w:rPr>
              <w:t>Hộ dân cư</w:t>
            </w:r>
          </w:p>
        </w:tc>
        <w:tc>
          <w:tcPr>
            <w:tcW w:w="1842" w:type="dxa"/>
            <w:vAlign w:val="center"/>
          </w:tcPr>
          <w:p w14:paraId="56E4E666" w14:textId="77777777" w:rsidR="00881260" w:rsidRPr="00881260" w:rsidRDefault="00881260" w:rsidP="00881260">
            <w:pPr>
              <w:rPr>
                <w:sz w:val="23"/>
                <w:szCs w:val="23"/>
              </w:rPr>
            </w:pPr>
            <w:r w:rsidRPr="00881260">
              <w:rPr>
                <w:sz w:val="23"/>
                <w:szCs w:val="23"/>
              </w:rPr>
              <w:t>Mức 1: Mức dưới 10m</w:t>
            </w:r>
            <w:r w:rsidRPr="00881260">
              <w:rPr>
                <w:sz w:val="23"/>
                <w:szCs w:val="23"/>
                <w:vertAlign w:val="superscript"/>
              </w:rPr>
              <w:t>3</w:t>
            </w:r>
            <w:r w:rsidRPr="00881260">
              <w:rPr>
                <w:sz w:val="23"/>
                <w:szCs w:val="23"/>
              </w:rPr>
              <w:t>/đồng hồ/tháng</w:t>
            </w:r>
          </w:p>
        </w:tc>
        <w:tc>
          <w:tcPr>
            <w:tcW w:w="1276" w:type="dxa"/>
            <w:vAlign w:val="center"/>
          </w:tcPr>
          <w:p w14:paraId="2667C042" w14:textId="77777777" w:rsidR="00881260" w:rsidRPr="00881260" w:rsidRDefault="00881260" w:rsidP="00881260">
            <w:pPr>
              <w:jc w:val="center"/>
              <w:rPr>
                <w:sz w:val="23"/>
                <w:szCs w:val="23"/>
              </w:rPr>
            </w:pPr>
            <w:r w:rsidRPr="00881260">
              <w:rPr>
                <w:sz w:val="23"/>
                <w:szCs w:val="23"/>
              </w:rPr>
              <w:t>0,80</w:t>
            </w:r>
          </w:p>
        </w:tc>
        <w:tc>
          <w:tcPr>
            <w:tcW w:w="1134" w:type="dxa"/>
            <w:vAlign w:val="center"/>
          </w:tcPr>
          <w:p w14:paraId="75475859" w14:textId="77777777" w:rsidR="00881260" w:rsidRPr="00881260" w:rsidRDefault="00881260" w:rsidP="00881260">
            <w:pPr>
              <w:adjustRightInd w:val="0"/>
              <w:snapToGrid w:val="0"/>
              <w:jc w:val="center"/>
              <w:rPr>
                <w:sz w:val="23"/>
                <w:szCs w:val="23"/>
              </w:rPr>
            </w:pPr>
            <w:r w:rsidRPr="00881260">
              <w:rPr>
                <w:sz w:val="23"/>
                <w:szCs w:val="23"/>
              </w:rPr>
              <w:t>9.241</w:t>
            </w:r>
          </w:p>
        </w:tc>
        <w:tc>
          <w:tcPr>
            <w:tcW w:w="1276" w:type="dxa"/>
            <w:vAlign w:val="center"/>
          </w:tcPr>
          <w:p w14:paraId="4D154D43" w14:textId="77777777" w:rsidR="00881260" w:rsidRPr="00881260" w:rsidRDefault="00881260" w:rsidP="00881260">
            <w:pPr>
              <w:adjustRightInd w:val="0"/>
              <w:snapToGrid w:val="0"/>
              <w:jc w:val="center"/>
              <w:rPr>
                <w:b/>
                <w:sz w:val="23"/>
                <w:szCs w:val="23"/>
              </w:rPr>
            </w:pPr>
            <w:r w:rsidRPr="00881260">
              <w:rPr>
                <w:b/>
                <w:sz w:val="23"/>
                <w:szCs w:val="23"/>
              </w:rPr>
              <w:t>7.900</w:t>
            </w:r>
          </w:p>
        </w:tc>
        <w:tc>
          <w:tcPr>
            <w:tcW w:w="1134" w:type="dxa"/>
            <w:vAlign w:val="center"/>
          </w:tcPr>
          <w:p w14:paraId="4541D1CA" w14:textId="77777777" w:rsidR="00881260" w:rsidRPr="00881260" w:rsidRDefault="00881260" w:rsidP="00881260">
            <w:pPr>
              <w:adjustRightInd w:val="0"/>
              <w:snapToGrid w:val="0"/>
              <w:jc w:val="center"/>
              <w:rPr>
                <w:sz w:val="23"/>
                <w:szCs w:val="23"/>
              </w:rPr>
            </w:pPr>
            <w:r w:rsidRPr="00881260">
              <w:rPr>
                <w:sz w:val="23"/>
                <w:szCs w:val="23"/>
              </w:rPr>
              <w:t>0,68</w:t>
            </w:r>
          </w:p>
        </w:tc>
      </w:tr>
      <w:tr w:rsidR="00881260" w:rsidRPr="00881260" w14:paraId="71933BDF" w14:textId="77777777" w:rsidTr="00CB49FE">
        <w:tc>
          <w:tcPr>
            <w:tcW w:w="1101" w:type="dxa"/>
            <w:vMerge/>
          </w:tcPr>
          <w:p w14:paraId="48594C9C" w14:textId="77777777" w:rsidR="00881260" w:rsidRPr="00881260" w:rsidRDefault="00881260" w:rsidP="00881260">
            <w:pPr>
              <w:adjustRightInd w:val="0"/>
              <w:snapToGrid w:val="0"/>
              <w:jc w:val="both"/>
              <w:rPr>
                <w:sz w:val="23"/>
                <w:szCs w:val="23"/>
                <w:lang w:val="vi-VN"/>
              </w:rPr>
            </w:pPr>
          </w:p>
        </w:tc>
        <w:tc>
          <w:tcPr>
            <w:tcW w:w="1701" w:type="dxa"/>
            <w:vMerge/>
            <w:vAlign w:val="center"/>
          </w:tcPr>
          <w:p w14:paraId="24DCDEAE" w14:textId="77777777" w:rsidR="00881260" w:rsidRPr="00881260" w:rsidRDefault="00881260" w:rsidP="00881260">
            <w:pPr>
              <w:jc w:val="both"/>
              <w:rPr>
                <w:sz w:val="23"/>
                <w:szCs w:val="23"/>
              </w:rPr>
            </w:pPr>
          </w:p>
        </w:tc>
        <w:tc>
          <w:tcPr>
            <w:tcW w:w="1842" w:type="dxa"/>
            <w:vAlign w:val="center"/>
          </w:tcPr>
          <w:p w14:paraId="4857832A" w14:textId="77777777" w:rsidR="00881260" w:rsidRPr="00881260" w:rsidRDefault="00881260" w:rsidP="00881260">
            <w:pPr>
              <w:rPr>
                <w:sz w:val="23"/>
                <w:szCs w:val="23"/>
              </w:rPr>
            </w:pPr>
            <w:r w:rsidRPr="00881260">
              <w:rPr>
                <w:sz w:val="23"/>
                <w:szCs w:val="23"/>
              </w:rPr>
              <w:t>Mức 2: Từ 10m</w:t>
            </w:r>
            <w:r w:rsidRPr="00881260">
              <w:rPr>
                <w:sz w:val="23"/>
                <w:szCs w:val="23"/>
                <w:vertAlign w:val="superscript"/>
              </w:rPr>
              <w:t>3</w:t>
            </w:r>
            <w:r w:rsidRPr="00881260">
              <w:rPr>
                <w:sz w:val="23"/>
                <w:szCs w:val="23"/>
              </w:rPr>
              <w:t xml:space="preserve"> - 20 m</w:t>
            </w:r>
            <w:r w:rsidRPr="00881260">
              <w:rPr>
                <w:sz w:val="23"/>
                <w:szCs w:val="23"/>
                <w:vertAlign w:val="superscript"/>
              </w:rPr>
              <w:t>3</w:t>
            </w:r>
            <w:r w:rsidRPr="00881260">
              <w:rPr>
                <w:sz w:val="23"/>
                <w:szCs w:val="23"/>
              </w:rPr>
              <w:t>/ đồng hồ/tháng</w:t>
            </w:r>
          </w:p>
        </w:tc>
        <w:tc>
          <w:tcPr>
            <w:tcW w:w="1276" w:type="dxa"/>
            <w:vAlign w:val="center"/>
          </w:tcPr>
          <w:p w14:paraId="604FC6CF" w14:textId="77777777" w:rsidR="00881260" w:rsidRPr="00881260" w:rsidRDefault="00881260" w:rsidP="00881260">
            <w:pPr>
              <w:jc w:val="center"/>
              <w:rPr>
                <w:sz w:val="23"/>
                <w:szCs w:val="23"/>
              </w:rPr>
            </w:pPr>
            <w:r w:rsidRPr="00881260">
              <w:rPr>
                <w:sz w:val="23"/>
                <w:szCs w:val="23"/>
              </w:rPr>
              <w:t>1,00</w:t>
            </w:r>
          </w:p>
        </w:tc>
        <w:tc>
          <w:tcPr>
            <w:tcW w:w="1134" w:type="dxa"/>
            <w:vAlign w:val="center"/>
          </w:tcPr>
          <w:p w14:paraId="6F8AEA42" w14:textId="77777777" w:rsidR="00881260" w:rsidRPr="00881260" w:rsidRDefault="00881260" w:rsidP="00881260">
            <w:pPr>
              <w:adjustRightInd w:val="0"/>
              <w:snapToGrid w:val="0"/>
              <w:jc w:val="center"/>
              <w:rPr>
                <w:sz w:val="23"/>
                <w:szCs w:val="23"/>
              </w:rPr>
            </w:pPr>
            <w:r w:rsidRPr="00881260">
              <w:rPr>
                <w:sz w:val="23"/>
                <w:szCs w:val="23"/>
              </w:rPr>
              <w:t>11.552</w:t>
            </w:r>
          </w:p>
        </w:tc>
        <w:tc>
          <w:tcPr>
            <w:tcW w:w="1276" w:type="dxa"/>
            <w:vAlign w:val="center"/>
          </w:tcPr>
          <w:p w14:paraId="3F49D7DE" w14:textId="77777777" w:rsidR="00881260" w:rsidRPr="00881260" w:rsidRDefault="00881260" w:rsidP="00881260">
            <w:pPr>
              <w:adjustRightInd w:val="0"/>
              <w:snapToGrid w:val="0"/>
              <w:jc w:val="center"/>
              <w:rPr>
                <w:b/>
                <w:sz w:val="23"/>
                <w:szCs w:val="23"/>
              </w:rPr>
            </w:pPr>
            <w:r w:rsidRPr="00881260">
              <w:rPr>
                <w:b/>
                <w:sz w:val="23"/>
                <w:szCs w:val="23"/>
              </w:rPr>
              <w:t>11.500</w:t>
            </w:r>
          </w:p>
        </w:tc>
        <w:tc>
          <w:tcPr>
            <w:tcW w:w="1134" w:type="dxa"/>
            <w:vAlign w:val="center"/>
          </w:tcPr>
          <w:p w14:paraId="0EEB3D16" w14:textId="77777777" w:rsidR="00881260" w:rsidRPr="00881260" w:rsidRDefault="00881260" w:rsidP="00881260">
            <w:pPr>
              <w:adjustRightInd w:val="0"/>
              <w:snapToGrid w:val="0"/>
              <w:jc w:val="center"/>
              <w:rPr>
                <w:sz w:val="23"/>
                <w:szCs w:val="23"/>
              </w:rPr>
            </w:pPr>
            <w:r w:rsidRPr="00881260">
              <w:rPr>
                <w:sz w:val="23"/>
                <w:szCs w:val="23"/>
              </w:rPr>
              <w:t>1,00</w:t>
            </w:r>
          </w:p>
        </w:tc>
      </w:tr>
      <w:tr w:rsidR="00881260" w:rsidRPr="00881260" w14:paraId="4085B5AF" w14:textId="77777777" w:rsidTr="00CB49FE">
        <w:tc>
          <w:tcPr>
            <w:tcW w:w="1101" w:type="dxa"/>
            <w:vMerge/>
          </w:tcPr>
          <w:p w14:paraId="386CD3C5" w14:textId="77777777" w:rsidR="00881260" w:rsidRPr="00881260" w:rsidRDefault="00881260" w:rsidP="00881260">
            <w:pPr>
              <w:adjustRightInd w:val="0"/>
              <w:snapToGrid w:val="0"/>
              <w:jc w:val="both"/>
              <w:rPr>
                <w:sz w:val="23"/>
                <w:szCs w:val="23"/>
                <w:lang w:val="vi-VN"/>
              </w:rPr>
            </w:pPr>
          </w:p>
        </w:tc>
        <w:tc>
          <w:tcPr>
            <w:tcW w:w="1701" w:type="dxa"/>
            <w:vMerge/>
            <w:vAlign w:val="center"/>
          </w:tcPr>
          <w:p w14:paraId="42050CD9" w14:textId="77777777" w:rsidR="00881260" w:rsidRPr="00881260" w:rsidRDefault="00881260" w:rsidP="00881260">
            <w:pPr>
              <w:jc w:val="both"/>
              <w:rPr>
                <w:sz w:val="23"/>
                <w:szCs w:val="23"/>
              </w:rPr>
            </w:pPr>
          </w:p>
        </w:tc>
        <w:tc>
          <w:tcPr>
            <w:tcW w:w="1842" w:type="dxa"/>
            <w:vAlign w:val="center"/>
          </w:tcPr>
          <w:p w14:paraId="56CACA54" w14:textId="77777777" w:rsidR="00881260" w:rsidRPr="00881260" w:rsidRDefault="00881260" w:rsidP="00881260">
            <w:pPr>
              <w:rPr>
                <w:sz w:val="23"/>
                <w:szCs w:val="23"/>
              </w:rPr>
            </w:pPr>
            <w:r w:rsidRPr="00881260">
              <w:rPr>
                <w:sz w:val="23"/>
                <w:szCs w:val="23"/>
              </w:rPr>
              <w:t>- Mức 3: Từ trên 20m</w:t>
            </w:r>
            <w:r w:rsidRPr="00881260">
              <w:rPr>
                <w:sz w:val="23"/>
                <w:szCs w:val="23"/>
                <w:vertAlign w:val="superscript"/>
              </w:rPr>
              <w:t>3</w:t>
            </w:r>
            <w:r w:rsidRPr="00881260">
              <w:rPr>
                <w:sz w:val="23"/>
                <w:szCs w:val="23"/>
              </w:rPr>
              <w:t>-30m</w:t>
            </w:r>
            <w:r w:rsidRPr="00881260">
              <w:rPr>
                <w:sz w:val="23"/>
                <w:szCs w:val="23"/>
                <w:vertAlign w:val="superscript"/>
              </w:rPr>
              <w:t>3</w:t>
            </w:r>
            <w:r w:rsidRPr="00881260">
              <w:rPr>
                <w:sz w:val="23"/>
                <w:szCs w:val="23"/>
              </w:rPr>
              <w:t>/đồng hồ/tháng</w:t>
            </w:r>
          </w:p>
        </w:tc>
        <w:tc>
          <w:tcPr>
            <w:tcW w:w="1276" w:type="dxa"/>
            <w:vAlign w:val="center"/>
          </w:tcPr>
          <w:p w14:paraId="3CC0EF21" w14:textId="77777777" w:rsidR="00881260" w:rsidRPr="00881260" w:rsidRDefault="00881260" w:rsidP="00881260">
            <w:pPr>
              <w:jc w:val="center"/>
              <w:rPr>
                <w:sz w:val="23"/>
                <w:szCs w:val="23"/>
              </w:rPr>
            </w:pPr>
            <w:r w:rsidRPr="00881260">
              <w:rPr>
                <w:sz w:val="23"/>
                <w:szCs w:val="23"/>
              </w:rPr>
              <w:t>1,50</w:t>
            </w:r>
          </w:p>
        </w:tc>
        <w:tc>
          <w:tcPr>
            <w:tcW w:w="1134" w:type="dxa"/>
            <w:vAlign w:val="center"/>
          </w:tcPr>
          <w:p w14:paraId="50A28D12" w14:textId="77777777" w:rsidR="00881260" w:rsidRPr="00881260" w:rsidRDefault="00881260" w:rsidP="00881260">
            <w:pPr>
              <w:adjustRightInd w:val="0"/>
              <w:snapToGrid w:val="0"/>
              <w:jc w:val="center"/>
              <w:rPr>
                <w:sz w:val="23"/>
                <w:szCs w:val="23"/>
              </w:rPr>
            </w:pPr>
            <w:r w:rsidRPr="00881260">
              <w:rPr>
                <w:sz w:val="23"/>
                <w:szCs w:val="23"/>
              </w:rPr>
              <w:t>17.327</w:t>
            </w:r>
          </w:p>
        </w:tc>
        <w:tc>
          <w:tcPr>
            <w:tcW w:w="1276" w:type="dxa"/>
            <w:vAlign w:val="center"/>
          </w:tcPr>
          <w:p w14:paraId="070ABB57" w14:textId="77777777" w:rsidR="00881260" w:rsidRPr="00881260" w:rsidRDefault="00881260" w:rsidP="00881260">
            <w:pPr>
              <w:adjustRightInd w:val="0"/>
              <w:snapToGrid w:val="0"/>
              <w:jc w:val="center"/>
              <w:rPr>
                <w:b/>
                <w:sz w:val="23"/>
                <w:szCs w:val="23"/>
              </w:rPr>
            </w:pPr>
            <w:r w:rsidRPr="00881260">
              <w:rPr>
                <w:b/>
                <w:sz w:val="23"/>
                <w:szCs w:val="23"/>
              </w:rPr>
              <w:t>12.900</w:t>
            </w:r>
          </w:p>
        </w:tc>
        <w:tc>
          <w:tcPr>
            <w:tcW w:w="1134" w:type="dxa"/>
            <w:vAlign w:val="center"/>
          </w:tcPr>
          <w:p w14:paraId="41C1BD3D" w14:textId="77777777" w:rsidR="00881260" w:rsidRPr="00881260" w:rsidRDefault="00881260" w:rsidP="00881260">
            <w:pPr>
              <w:adjustRightInd w:val="0"/>
              <w:snapToGrid w:val="0"/>
              <w:jc w:val="center"/>
              <w:rPr>
                <w:sz w:val="23"/>
                <w:szCs w:val="23"/>
              </w:rPr>
            </w:pPr>
            <w:r w:rsidRPr="00881260">
              <w:rPr>
                <w:sz w:val="23"/>
                <w:szCs w:val="23"/>
              </w:rPr>
              <w:t>1,12</w:t>
            </w:r>
          </w:p>
        </w:tc>
      </w:tr>
      <w:tr w:rsidR="00881260" w:rsidRPr="00881260" w14:paraId="7D20BBCC" w14:textId="77777777" w:rsidTr="00CB49FE">
        <w:tc>
          <w:tcPr>
            <w:tcW w:w="1101" w:type="dxa"/>
            <w:vMerge/>
          </w:tcPr>
          <w:p w14:paraId="6497E352" w14:textId="77777777" w:rsidR="00881260" w:rsidRPr="00881260" w:rsidRDefault="00881260" w:rsidP="00881260">
            <w:pPr>
              <w:adjustRightInd w:val="0"/>
              <w:snapToGrid w:val="0"/>
              <w:jc w:val="both"/>
              <w:rPr>
                <w:sz w:val="23"/>
                <w:szCs w:val="23"/>
                <w:lang w:val="vi-VN"/>
              </w:rPr>
            </w:pPr>
          </w:p>
        </w:tc>
        <w:tc>
          <w:tcPr>
            <w:tcW w:w="1701" w:type="dxa"/>
            <w:vMerge/>
            <w:vAlign w:val="center"/>
          </w:tcPr>
          <w:p w14:paraId="31F8BE72" w14:textId="77777777" w:rsidR="00881260" w:rsidRPr="00881260" w:rsidRDefault="00881260" w:rsidP="00881260">
            <w:pPr>
              <w:jc w:val="both"/>
              <w:rPr>
                <w:sz w:val="23"/>
                <w:szCs w:val="23"/>
              </w:rPr>
            </w:pPr>
          </w:p>
        </w:tc>
        <w:tc>
          <w:tcPr>
            <w:tcW w:w="1842" w:type="dxa"/>
            <w:vAlign w:val="center"/>
          </w:tcPr>
          <w:p w14:paraId="2EAEE658" w14:textId="77777777" w:rsidR="00881260" w:rsidRPr="00881260" w:rsidRDefault="00881260" w:rsidP="00881260">
            <w:pPr>
              <w:rPr>
                <w:sz w:val="23"/>
                <w:szCs w:val="23"/>
              </w:rPr>
            </w:pPr>
            <w:r w:rsidRPr="00881260">
              <w:rPr>
                <w:sz w:val="23"/>
                <w:szCs w:val="23"/>
              </w:rPr>
              <w:t>- Mức 4: Trên 30m</w:t>
            </w:r>
            <w:r w:rsidRPr="00881260">
              <w:rPr>
                <w:sz w:val="23"/>
                <w:szCs w:val="23"/>
                <w:vertAlign w:val="superscript"/>
              </w:rPr>
              <w:t>3</w:t>
            </w:r>
            <w:r w:rsidRPr="00881260">
              <w:rPr>
                <w:sz w:val="23"/>
                <w:szCs w:val="23"/>
              </w:rPr>
              <w:t>/đồng hồ/tháng</w:t>
            </w:r>
          </w:p>
        </w:tc>
        <w:tc>
          <w:tcPr>
            <w:tcW w:w="1276" w:type="dxa"/>
            <w:vAlign w:val="center"/>
          </w:tcPr>
          <w:p w14:paraId="06C78A06" w14:textId="77777777" w:rsidR="00881260" w:rsidRPr="00881260" w:rsidRDefault="00881260" w:rsidP="00881260">
            <w:pPr>
              <w:jc w:val="center"/>
              <w:rPr>
                <w:sz w:val="23"/>
                <w:szCs w:val="23"/>
              </w:rPr>
            </w:pPr>
            <w:r w:rsidRPr="00881260">
              <w:rPr>
                <w:sz w:val="23"/>
                <w:szCs w:val="23"/>
              </w:rPr>
              <w:t>2,50</w:t>
            </w:r>
          </w:p>
        </w:tc>
        <w:tc>
          <w:tcPr>
            <w:tcW w:w="1134" w:type="dxa"/>
            <w:vAlign w:val="center"/>
          </w:tcPr>
          <w:p w14:paraId="3006C9AB" w14:textId="77777777" w:rsidR="00881260" w:rsidRPr="00881260" w:rsidRDefault="00881260" w:rsidP="00881260">
            <w:pPr>
              <w:adjustRightInd w:val="0"/>
              <w:snapToGrid w:val="0"/>
              <w:jc w:val="center"/>
              <w:rPr>
                <w:sz w:val="23"/>
                <w:szCs w:val="23"/>
              </w:rPr>
            </w:pPr>
            <w:r w:rsidRPr="00881260">
              <w:rPr>
                <w:sz w:val="23"/>
                <w:szCs w:val="23"/>
              </w:rPr>
              <w:t>28.879</w:t>
            </w:r>
          </w:p>
        </w:tc>
        <w:tc>
          <w:tcPr>
            <w:tcW w:w="1276" w:type="dxa"/>
            <w:vAlign w:val="center"/>
          </w:tcPr>
          <w:p w14:paraId="0F737586" w14:textId="77777777" w:rsidR="00881260" w:rsidRPr="00881260" w:rsidRDefault="00881260" w:rsidP="00881260">
            <w:pPr>
              <w:adjustRightInd w:val="0"/>
              <w:snapToGrid w:val="0"/>
              <w:jc w:val="center"/>
              <w:rPr>
                <w:b/>
                <w:sz w:val="23"/>
                <w:szCs w:val="23"/>
              </w:rPr>
            </w:pPr>
            <w:r w:rsidRPr="00881260">
              <w:rPr>
                <w:b/>
                <w:sz w:val="23"/>
                <w:szCs w:val="23"/>
              </w:rPr>
              <w:t>13.600</w:t>
            </w:r>
          </w:p>
        </w:tc>
        <w:tc>
          <w:tcPr>
            <w:tcW w:w="1134" w:type="dxa"/>
            <w:vAlign w:val="center"/>
          </w:tcPr>
          <w:p w14:paraId="5B704555" w14:textId="77777777" w:rsidR="00881260" w:rsidRPr="00881260" w:rsidRDefault="00881260" w:rsidP="00881260">
            <w:pPr>
              <w:adjustRightInd w:val="0"/>
              <w:snapToGrid w:val="0"/>
              <w:jc w:val="center"/>
              <w:rPr>
                <w:sz w:val="23"/>
                <w:szCs w:val="23"/>
              </w:rPr>
            </w:pPr>
            <w:r w:rsidRPr="00881260">
              <w:rPr>
                <w:sz w:val="23"/>
                <w:szCs w:val="23"/>
              </w:rPr>
              <w:t>1,18</w:t>
            </w:r>
          </w:p>
        </w:tc>
      </w:tr>
      <w:tr w:rsidR="00881260" w:rsidRPr="00881260" w14:paraId="1928118D" w14:textId="77777777" w:rsidTr="00CB49FE">
        <w:tc>
          <w:tcPr>
            <w:tcW w:w="1101" w:type="dxa"/>
            <w:vAlign w:val="center"/>
          </w:tcPr>
          <w:p w14:paraId="6BD16CDB" w14:textId="77777777" w:rsidR="00881260" w:rsidRPr="00881260" w:rsidRDefault="00881260" w:rsidP="00881260">
            <w:pPr>
              <w:adjustRightInd w:val="0"/>
              <w:snapToGrid w:val="0"/>
              <w:jc w:val="both"/>
              <w:rPr>
                <w:b/>
                <w:sz w:val="23"/>
                <w:szCs w:val="23"/>
              </w:rPr>
            </w:pPr>
            <w:r w:rsidRPr="00881260">
              <w:rPr>
                <w:b/>
                <w:sz w:val="23"/>
                <w:szCs w:val="23"/>
              </w:rPr>
              <w:t>Nhóm 2</w:t>
            </w:r>
          </w:p>
        </w:tc>
        <w:tc>
          <w:tcPr>
            <w:tcW w:w="1701" w:type="dxa"/>
            <w:vAlign w:val="center"/>
          </w:tcPr>
          <w:p w14:paraId="5C49EF30" w14:textId="77777777" w:rsidR="00881260" w:rsidRPr="00881260" w:rsidRDefault="00881260" w:rsidP="00881260">
            <w:pPr>
              <w:jc w:val="both"/>
              <w:rPr>
                <w:b/>
                <w:sz w:val="23"/>
                <w:szCs w:val="23"/>
              </w:rPr>
            </w:pPr>
            <w:r w:rsidRPr="00881260">
              <w:rPr>
                <w:b/>
                <w:sz w:val="23"/>
                <w:szCs w:val="23"/>
              </w:rPr>
              <w:t>Hộ nghèo</w:t>
            </w:r>
          </w:p>
        </w:tc>
        <w:tc>
          <w:tcPr>
            <w:tcW w:w="1842" w:type="dxa"/>
          </w:tcPr>
          <w:p w14:paraId="1B69F85B" w14:textId="77777777" w:rsidR="00881260" w:rsidRPr="00881260" w:rsidRDefault="00881260" w:rsidP="00881260">
            <w:pPr>
              <w:adjustRightInd w:val="0"/>
              <w:snapToGrid w:val="0"/>
              <w:jc w:val="center"/>
              <w:rPr>
                <w:sz w:val="23"/>
                <w:szCs w:val="23"/>
              </w:rPr>
            </w:pPr>
          </w:p>
        </w:tc>
        <w:tc>
          <w:tcPr>
            <w:tcW w:w="3686" w:type="dxa"/>
            <w:gridSpan w:val="3"/>
            <w:vAlign w:val="center"/>
          </w:tcPr>
          <w:p w14:paraId="4B696E76" w14:textId="77777777" w:rsidR="00881260" w:rsidRPr="00881260" w:rsidRDefault="00881260" w:rsidP="00881260">
            <w:pPr>
              <w:adjustRightInd w:val="0"/>
              <w:snapToGrid w:val="0"/>
              <w:jc w:val="center"/>
              <w:rPr>
                <w:sz w:val="23"/>
                <w:szCs w:val="23"/>
              </w:rPr>
            </w:pPr>
            <w:r w:rsidRPr="00881260">
              <w:rPr>
                <w:sz w:val="23"/>
                <w:szCs w:val="23"/>
              </w:rPr>
              <w:t>Bằng 40% mức giá của mức 1 nhóm 1 nêu trên</w:t>
            </w:r>
          </w:p>
        </w:tc>
        <w:tc>
          <w:tcPr>
            <w:tcW w:w="1134" w:type="dxa"/>
          </w:tcPr>
          <w:p w14:paraId="26BF6F93" w14:textId="77777777" w:rsidR="00881260" w:rsidRPr="00881260" w:rsidRDefault="00881260" w:rsidP="00881260">
            <w:pPr>
              <w:adjustRightInd w:val="0"/>
              <w:snapToGrid w:val="0"/>
              <w:jc w:val="both"/>
              <w:rPr>
                <w:sz w:val="23"/>
                <w:szCs w:val="23"/>
                <w:lang w:val="vi-VN"/>
              </w:rPr>
            </w:pPr>
          </w:p>
        </w:tc>
      </w:tr>
      <w:tr w:rsidR="00881260" w:rsidRPr="00881260" w14:paraId="47F812C3" w14:textId="77777777" w:rsidTr="00CB49FE">
        <w:tc>
          <w:tcPr>
            <w:tcW w:w="1101" w:type="dxa"/>
            <w:vAlign w:val="center"/>
          </w:tcPr>
          <w:p w14:paraId="31361C13" w14:textId="77777777" w:rsidR="00881260" w:rsidRPr="00881260" w:rsidRDefault="00881260" w:rsidP="00881260">
            <w:pPr>
              <w:adjustRightInd w:val="0"/>
              <w:snapToGrid w:val="0"/>
              <w:jc w:val="both"/>
              <w:rPr>
                <w:b/>
                <w:sz w:val="23"/>
                <w:szCs w:val="23"/>
              </w:rPr>
            </w:pPr>
            <w:r w:rsidRPr="00881260">
              <w:rPr>
                <w:b/>
                <w:sz w:val="23"/>
                <w:szCs w:val="23"/>
              </w:rPr>
              <w:t>Nhóm 3</w:t>
            </w:r>
          </w:p>
        </w:tc>
        <w:tc>
          <w:tcPr>
            <w:tcW w:w="1701" w:type="dxa"/>
            <w:vAlign w:val="center"/>
          </w:tcPr>
          <w:p w14:paraId="03DFD42E" w14:textId="77777777" w:rsidR="00881260" w:rsidRPr="00881260" w:rsidRDefault="00881260" w:rsidP="00881260">
            <w:pPr>
              <w:jc w:val="both"/>
              <w:rPr>
                <w:sz w:val="23"/>
                <w:szCs w:val="23"/>
              </w:rPr>
            </w:pPr>
            <w:r w:rsidRPr="00881260">
              <w:rPr>
                <w:b/>
                <w:bCs/>
                <w:sz w:val="23"/>
                <w:szCs w:val="23"/>
              </w:rPr>
              <w:t>Cơ quan hành chính nhà nước; đơn vị sự nghiệp công lập; trường học, bệnh viện, cơ sở khám, chữa bệnh (công lập và tư nhân); phục vụ mục đích công cộng (phi lợi nhuận).</w:t>
            </w:r>
          </w:p>
        </w:tc>
        <w:tc>
          <w:tcPr>
            <w:tcW w:w="1842" w:type="dxa"/>
            <w:vAlign w:val="center"/>
          </w:tcPr>
          <w:p w14:paraId="3CDBA2EE" w14:textId="77777777" w:rsidR="00881260" w:rsidRPr="00881260" w:rsidRDefault="00881260" w:rsidP="00881260">
            <w:pPr>
              <w:adjustRightInd w:val="0"/>
              <w:snapToGrid w:val="0"/>
              <w:jc w:val="center"/>
              <w:rPr>
                <w:sz w:val="23"/>
                <w:szCs w:val="23"/>
              </w:rPr>
            </w:pPr>
            <w:r w:rsidRPr="00881260">
              <w:rPr>
                <w:sz w:val="23"/>
                <w:szCs w:val="23"/>
              </w:rPr>
              <w:t>Theo thực tế sử dụng</w:t>
            </w:r>
          </w:p>
        </w:tc>
        <w:tc>
          <w:tcPr>
            <w:tcW w:w="1276" w:type="dxa"/>
            <w:vAlign w:val="center"/>
          </w:tcPr>
          <w:p w14:paraId="51066378" w14:textId="77777777" w:rsidR="00881260" w:rsidRPr="00881260" w:rsidRDefault="00881260" w:rsidP="00881260">
            <w:pPr>
              <w:adjustRightInd w:val="0"/>
              <w:snapToGrid w:val="0"/>
              <w:jc w:val="center"/>
              <w:rPr>
                <w:sz w:val="23"/>
                <w:szCs w:val="23"/>
              </w:rPr>
            </w:pPr>
            <w:r w:rsidRPr="00881260">
              <w:rPr>
                <w:sz w:val="23"/>
                <w:szCs w:val="23"/>
              </w:rPr>
              <w:t>1,20</w:t>
            </w:r>
          </w:p>
        </w:tc>
        <w:tc>
          <w:tcPr>
            <w:tcW w:w="1134" w:type="dxa"/>
            <w:vAlign w:val="center"/>
          </w:tcPr>
          <w:p w14:paraId="7D22D8B8" w14:textId="77777777" w:rsidR="00881260" w:rsidRPr="00881260" w:rsidRDefault="00881260" w:rsidP="00881260">
            <w:pPr>
              <w:adjustRightInd w:val="0"/>
              <w:snapToGrid w:val="0"/>
              <w:jc w:val="center"/>
              <w:rPr>
                <w:sz w:val="23"/>
                <w:szCs w:val="23"/>
              </w:rPr>
            </w:pPr>
            <w:r w:rsidRPr="00881260">
              <w:rPr>
                <w:sz w:val="23"/>
                <w:szCs w:val="23"/>
              </w:rPr>
              <w:t>13.862</w:t>
            </w:r>
          </w:p>
        </w:tc>
        <w:tc>
          <w:tcPr>
            <w:tcW w:w="1276" w:type="dxa"/>
            <w:vAlign w:val="center"/>
          </w:tcPr>
          <w:p w14:paraId="3CE0FACA" w14:textId="77777777" w:rsidR="00881260" w:rsidRPr="00881260" w:rsidRDefault="00881260" w:rsidP="00881260">
            <w:pPr>
              <w:adjustRightInd w:val="0"/>
              <w:snapToGrid w:val="0"/>
              <w:jc w:val="center"/>
              <w:rPr>
                <w:b/>
                <w:sz w:val="23"/>
                <w:szCs w:val="23"/>
              </w:rPr>
            </w:pPr>
            <w:r w:rsidRPr="00881260">
              <w:rPr>
                <w:b/>
                <w:sz w:val="23"/>
                <w:szCs w:val="23"/>
              </w:rPr>
              <w:t>11.700</w:t>
            </w:r>
          </w:p>
        </w:tc>
        <w:tc>
          <w:tcPr>
            <w:tcW w:w="1134" w:type="dxa"/>
            <w:vAlign w:val="center"/>
          </w:tcPr>
          <w:p w14:paraId="1E01D93F" w14:textId="77777777" w:rsidR="00881260" w:rsidRPr="00881260" w:rsidRDefault="00881260" w:rsidP="00881260">
            <w:pPr>
              <w:adjustRightInd w:val="0"/>
              <w:snapToGrid w:val="0"/>
              <w:jc w:val="center"/>
              <w:rPr>
                <w:sz w:val="23"/>
                <w:szCs w:val="23"/>
              </w:rPr>
            </w:pPr>
            <w:r w:rsidRPr="00881260">
              <w:rPr>
                <w:sz w:val="23"/>
                <w:szCs w:val="23"/>
              </w:rPr>
              <w:t>1,01</w:t>
            </w:r>
          </w:p>
        </w:tc>
      </w:tr>
      <w:tr w:rsidR="00881260" w:rsidRPr="00881260" w14:paraId="24E58C99" w14:textId="77777777" w:rsidTr="00CB49FE">
        <w:tc>
          <w:tcPr>
            <w:tcW w:w="1101" w:type="dxa"/>
            <w:vAlign w:val="center"/>
          </w:tcPr>
          <w:p w14:paraId="12F4AA9E" w14:textId="77777777" w:rsidR="00881260" w:rsidRPr="00881260" w:rsidRDefault="00881260" w:rsidP="00881260">
            <w:pPr>
              <w:adjustRightInd w:val="0"/>
              <w:snapToGrid w:val="0"/>
              <w:jc w:val="both"/>
              <w:rPr>
                <w:b/>
                <w:sz w:val="23"/>
                <w:szCs w:val="23"/>
              </w:rPr>
            </w:pPr>
            <w:r w:rsidRPr="00881260">
              <w:rPr>
                <w:b/>
                <w:sz w:val="23"/>
                <w:szCs w:val="23"/>
              </w:rPr>
              <w:t>Nhóm 4</w:t>
            </w:r>
          </w:p>
        </w:tc>
        <w:tc>
          <w:tcPr>
            <w:tcW w:w="1701" w:type="dxa"/>
            <w:vAlign w:val="center"/>
          </w:tcPr>
          <w:p w14:paraId="4F4238D4" w14:textId="77777777" w:rsidR="00881260" w:rsidRPr="00881260" w:rsidRDefault="00881260" w:rsidP="00881260">
            <w:pPr>
              <w:jc w:val="both"/>
              <w:rPr>
                <w:b/>
                <w:bCs/>
                <w:sz w:val="23"/>
                <w:szCs w:val="23"/>
              </w:rPr>
            </w:pPr>
            <w:r w:rsidRPr="00881260">
              <w:rPr>
                <w:b/>
                <w:bCs/>
                <w:sz w:val="23"/>
                <w:szCs w:val="23"/>
              </w:rPr>
              <w:t>Tổ chức, cá nhân sản xuất vật chất</w:t>
            </w:r>
          </w:p>
        </w:tc>
        <w:tc>
          <w:tcPr>
            <w:tcW w:w="1842" w:type="dxa"/>
            <w:vAlign w:val="center"/>
          </w:tcPr>
          <w:p w14:paraId="3A8AF728" w14:textId="77777777" w:rsidR="00881260" w:rsidRPr="00881260" w:rsidRDefault="00881260" w:rsidP="00881260">
            <w:pPr>
              <w:adjustRightInd w:val="0"/>
              <w:snapToGrid w:val="0"/>
              <w:jc w:val="center"/>
              <w:rPr>
                <w:sz w:val="23"/>
                <w:szCs w:val="23"/>
              </w:rPr>
            </w:pPr>
            <w:r w:rsidRPr="00881260">
              <w:rPr>
                <w:sz w:val="23"/>
                <w:szCs w:val="23"/>
              </w:rPr>
              <w:t>Theo thực tế sử dụng</w:t>
            </w:r>
          </w:p>
        </w:tc>
        <w:tc>
          <w:tcPr>
            <w:tcW w:w="1276" w:type="dxa"/>
            <w:vAlign w:val="center"/>
          </w:tcPr>
          <w:p w14:paraId="003880B8" w14:textId="77777777" w:rsidR="00881260" w:rsidRPr="00881260" w:rsidRDefault="00881260" w:rsidP="00881260">
            <w:pPr>
              <w:adjustRightInd w:val="0"/>
              <w:snapToGrid w:val="0"/>
              <w:jc w:val="center"/>
              <w:rPr>
                <w:sz w:val="23"/>
                <w:szCs w:val="23"/>
              </w:rPr>
            </w:pPr>
            <w:r w:rsidRPr="00881260">
              <w:rPr>
                <w:sz w:val="23"/>
                <w:szCs w:val="23"/>
              </w:rPr>
              <w:t>1,50</w:t>
            </w:r>
          </w:p>
        </w:tc>
        <w:tc>
          <w:tcPr>
            <w:tcW w:w="1134" w:type="dxa"/>
            <w:vAlign w:val="center"/>
          </w:tcPr>
          <w:p w14:paraId="12AEB564" w14:textId="77777777" w:rsidR="00881260" w:rsidRPr="00881260" w:rsidRDefault="00881260" w:rsidP="00881260">
            <w:pPr>
              <w:adjustRightInd w:val="0"/>
              <w:snapToGrid w:val="0"/>
              <w:jc w:val="center"/>
              <w:rPr>
                <w:sz w:val="23"/>
                <w:szCs w:val="23"/>
              </w:rPr>
            </w:pPr>
            <w:r w:rsidRPr="00881260">
              <w:rPr>
                <w:sz w:val="23"/>
                <w:szCs w:val="23"/>
              </w:rPr>
              <w:t>17.327</w:t>
            </w:r>
          </w:p>
        </w:tc>
        <w:tc>
          <w:tcPr>
            <w:tcW w:w="1276" w:type="dxa"/>
            <w:vAlign w:val="center"/>
          </w:tcPr>
          <w:p w14:paraId="537166B0" w14:textId="77777777" w:rsidR="00881260" w:rsidRPr="00881260" w:rsidRDefault="00881260" w:rsidP="00881260">
            <w:pPr>
              <w:adjustRightInd w:val="0"/>
              <w:snapToGrid w:val="0"/>
              <w:jc w:val="center"/>
              <w:rPr>
                <w:b/>
                <w:sz w:val="23"/>
                <w:szCs w:val="23"/>
              </w:rPr>
            </w:pPr>
            <w:r w:rsidRPr="00881260">
              <w:rPr>
                <w:b/>
                <w:sz w:val="23"/>
                <w:szCs w:val="23"/>
              </w:rPr>
              <w:t>15.200</w:t>
            </w:r>
          </w:p>
        </w:tc>
        <w:tc>
          <w:tcPr>
            <w:tcW w:w="1134" w:type="dxa"/>
            <w:vAlign w:val="center"/>
          </w:tcPr>
          <w:p w14:paraId="407D6056" w14:textId="77777777" w:rsidR="00881260" w:rsidRPr="00881260" w:rsidRDefault="00881260" w:rsidP="00881260">
            <w:pPr>
              <w:adjustRightInd w:val="0"/>
              <w:snapToGrid w:val="0"/>
              <w:jc w:val="center"/>
              <w:rPr>
                <w:sz w:val="23"/>
                <w:szCs w:val="23"/>
              </w:rPr>
            </w:pPr>
            <w:r w:rsidRPr="00881260">
              <w:rPr>
                <w:sz w:val="23"/>
                <w:szCs w:val="23"/>
              </w:rPr>
              <w:t>1,32</w:t>
            </w:r>
          </w:p>
        </w:tc>
      </w:tr>
      <w:tr w:rsidR="00881260" w:rsidRPr="00881260" w14:paraId="1673CB1D" w14:textId="77777777" w:rsidTr="00CB49FE">
        <w:tc>
          <w:tcPr>
            <w:tcW w:w="1101" w:type="dxa"/>
            <w:vAlign w:val="center"/>
          </w:tcPr>
          <w:p w14:paraId="154F9CC1" w14:textId="77777777" w:rsidR="00881260" w:rsidRPr="00881260" w:rsidRDefault="00881260" w:rsidP="00881260">
            <w:pPr>
              <w:adjustRightInd w:val="0"/>
              <w:snapToGrid w:val="0"/>
              <w:jc w:val="both"/>
              <w:rPr>
                <w:b/>
                <w:sz w:val="23"/>
                <w:szCs w:val="23"/>
              </w:rPr>
            </w:pPr>
            <w:r w:rsidRPr="00881260">
              <w:rPr>
                <w:b/>
                <w:sz w:val="23"/>
                <w:szCs w:val="23"/>
              </w:rPr>
              <w:t>Nhóm 5</w:t>
            </w:r>
          </w:p>
        </w:tc>
        <w:tc>
          <w:tcPr>
            <w:tcW w:w="1701" w:type="dxa"/>
            <w:vAlign w:val="center"/>
          </w:tcPr>
          <w:p w14:paraId="2A3D636B" w14:textId="77777777" w:rsidR="00881260" w:rsidRPr="00881260" w:rsidRDefault="00881260" w:rsidP="00881260">
            <w:pPr>
              <w:jc w:val="both"/>
              <w:rPr>
                <w:b/>
                <w:bCs/>
                <w:sz w:val="23"/>
                <w:szCs w:val="23"/>
              </w:rPr>
            </w:pPr>
            <w:r w:rsidRPr="00881260">
              <w:rPr>
                <w:b/>
                <w:bCs/>
                <w:sz w:val="23"/>
                <w:szCs w:val="23"/>
              </w:rPr>
              <w:t>Tổ chức, cá nhân tiêu thụ nước sạch cho mục đích kinh doanh dịch vụ</w:t>
            </w:r>
          </w:p>
        </w:tc>
        <w:tc>
          <w:tcPr>
            <w:tcW w:w="1842" w:type="dxa"/>
            <w:vAlign w:val="center"/>
          </w:tcPr>
          <w:p w14:paraId="101BC868" w14:textId="77777777" w:rsidR="00881260" w:rsidRPr="00881260" w:rsidRDefault="00881260" w:rsidP="00881260">
            <w:pPr>
              <w:adjustRightInd w:val="0"/>
              <w:snapToGrid w:val="0"/>
              <w:jc w:val="center"/>
              <w:rPr>
                <w:sz w:val="23"/>
                <w:szCs w:val="23"/>
              </w:rPr>
            </w:pPr>
            <w:r w:rsidRPr="00881260">
              <w:rPr>
                <w:sz w:val="23"/>
                <w:szCs w:val="23"/>
              </w:rPr>
              <w:t>Theo thực tế sử dụng</w:t>
            </w:r>
          </w:p>
        </w:tc>
        <w:tc>
          <w:tcPr>
            <w:tcW w:w="1276" w:type="dxa"/>
            <w:vAlign w:val="center"/>
          </w:tcPr>
          <w:p w14:paraId="14E3EAAB" w14:textId="77777777" w:rsidR="00881260" w:rsidRPr="00881260" w:rsidRDefault="00881260" w:rsidP="00881260">
            <w:pPr>
              <w:adjustRightInd w:val="0"/>
              <w:snapToGrid w:val="0"/>
              <w:jc w:val="center"/>
              <w:rPr>
                <w:sz w:val="23"/>
                <w:szCs w:val="23"/>
              </w:rPr>
            </w:pPr>
            <w:r w:rsidRPr="00881260">
              <w:rPr>
                <w:sz w:val="23"/>
                <w:szCs w:val="23"/>
              </w:rPr>
              <w:t>3,00</w:t>
            </w:r>
          </w:p>
        </w:tc>
        <w:tc>
          <w:tcPr>
            <w:tcW w:w="1134" w:type="dxa"/>
            <w:vAlign w:val="center"/>
          </w:tcPr>
          <w:p w14:paraId="06AE4E08" w14:textId="77777777" w:rsidR="00881260" w:rsidRPr="00881260" w:rsidRDefault="00881260" w:rsidP="00881260">
            <w:pPr>
              <w:adjustRightInd w:val="0"/>
              <w:snapToGrid w:val="0"/>
              <w:jc w:val="center"/>
              <w:rPr>
                <w:sz w:val="23"/>
                <w:szCs w:val="23"/>
              </w:rPr>
            </w:pPr>
            <w:r w:rsidRPr="00881260">
              <w:rPr>
                <w:sz w:val="23"/>
                <w:szCs w:val="23"/>
              </w:rPr>
              <w:t>34.655</w:t>
            </w:r>
          </w:p>
        </w:tc>
        <w:tc>
          <w:tcPr>
            <w:tcW w:w="1276" w:type="dxa"/>
            <w:vAlign w:val="center"/>
          </w:tcPr>
          <w:p w14:paraId="67F44D50" w14:textId="77777777" w:rsidR="00881260" w:rsidRPr="00881260" w:rsidRDefault="00881260" w:rsidP="00881260">
            <w:pPr>
              <w:adjustRightInd w:val="0"/>
              <w:snapToGrid w:val="0"/>
              <w:jc w:val="center"/>
              <w:rPr>
                <w:b/>
                <w:sz w:val="23"/>
                <w:szCs w:val="23"/>
              </w:rPr>
            </w:pPr>
            <w:r w:rsidRPr="00881260">
              <w:rPr>
                <w:b/>
                <w:sz w:val="23"/>
                <w:szCs w:val="23"/>
              </w:rPr>
              <w:t>20.900</w:t>
            </w:r>
          </w:p>
        </w:tc>
        <w:tc>
          <w:tcPr>
            <w:tcW w:w="1134" w:type="dxa"/>
            <w:vAlign w:val="center"/>
          </w:tcPr>
          <w:p w14:paraId="2246F00C" w14:textId="77777777" w:rsidR="00881260" w:rsidRPr="00881260" w:rsidRDefault="00881260" w:rsidP="00881260">
            <w:pPr>
              <w:adjustRightInd w:val="0"/>
              <w:snapToGrid w:val="0"/>
              <w:jc w:val="center"/>
              <w:rPr>
                <w:sz w:val="23"/>
                <w:szCs w:val="23"/>
              </w:rPr>
            </w:pPr>
            <w:r w:rsidRPr="00881260">
              <w:rPr>
                <w:sz w:val="23"/>
                <w:szCs w:val="23"/>
              </w:rPr>
              <w:t>1,81</w:t>
            </w:r>
          </w:p>
        </w:tc>
      </w:tr>
      <w:tr w:rsidR="00881260" w:rsidRPr="00881260" w14:paraId="569B5B57" w14:textId="77777777" w:rsidTr="00CB49FE">
        <w:tc>
          <w:tcPr>
            <w:tcW w:w="2802" w:type="dxa"/>
            <w:gridSpan w:val="2"/>
            <w:vAlign w:val="center"/>
          </w:tcPr>
          <w:p w14:paraId="7343C756" w14:textId="77777777" w:rsidR="00881260" w:rsidRPr="00881260" w:rsidRDefault="00881260" w:rsidP="00881260">
            <w:pPr>
              <w:rPr>
                <w:b/>
                <w:bCs/>
                <w:sz w:val="23"/>
                <w:szCs w:val="23"/>
              </w:rPr>
            </w:pPr>
            <w:r w:rsidRPr="00881260">
              <w:rPr>
                <w:b/>
                <w:bCs/>
                <w:sz w:val="23"/>
                <w:szCs w:val="23"/>
              </w:rPr>
              <w:t>Giá bán lẻ nước sạch bình quân</w:t>
            </w:r>
          </w:p>
        </w:tc>
        <w:tc>
          <w:tcPr>
            <w:tcW w:w="1842" w:type="dxa"/>
          </w:tcPr>
          <w:p w14:paraId="0A432A1A" w14:textId="77777777" w:rsidR="00881260" w:rsidRPr="00881260" w:rsidRDefault="00881260" w:rsidP="00881260">
            <w:pPr>
              <w:adjustRightInd w:val="0"/>
              <w:snapToGrid w:val="0"/>
              <w:jc w:val="center"/>
              <w:rPr>
                <w:sz w:val="23"/>
                <w:szCs w:val="23"/>
              </w:rPr>
            </w:pPr>
          </w:p>
        </w:tc>
        <w:tc>
          <w:tcPr>
            <w:tcW w:w="1276" w:type="dxa"/>
            <w:vAlign w:val="center"/>
          </w:tcPr>
          <w:p w14:paraId="4DB2E4A9" w14:textId="77777777" w:rsidR="00881260" w:rsidRPr="00881260" w:rsidRDefault="00881260" w:rsidP="00881260">
            <w:pPr>
              <w:adjustRightInd w:val="0"/>
              <w:snapToGrid w:val="0"/>
              <w:jc w:val="center"/>
              <w:rPr>
                <w:sz w:val="23"/>
                <w:szCs w:val="23"/>
              </w:rPr>
            </w:pPr>
            <w:r w:rsidRPr="00881260">
              <w:rPr>
                <w:sz w:val="23"/>
                <w:szCs w:val="23"/>
              </w:rPr>
              <w:t>1,00</w:t>
            </w:r>
          </w:p>
        </w:tc>
        <w:tc>
          <w:tcPr>
            <w:tcW w:w="1134" w:type="dxa"/>
          </w:tcPr>
          <w:p w14:paraId="62FB1098" w14:textId="77777777" w:rsidR="00881260" w:rsidRPr="00881260" w:rsidRDefault="00881260" w:rsidP="00881260">
            <w:pPr>
              <w:adjustRightInd w:val="0"/>
              <w:snapToGrid w:val="0"/>
              <w:jc w:val="both"/>
              <w:rPr>
                <w:sz w:val="23"/>
                <w:szCs w:val="23"/>
                <w:lang w:val="vi-VN"/>
              </w:rPr>
            </w:pPr>
          </w:p>
        </w:tc>
        <w:tc>
          <w:tcPr>
            <w:tcW w:w="1276" w:type="dxa"/>
            <w:vAlign w:val="center"/>
          </w:tcPr>
          <w:p w14:paraId="54B871F5" w14:textId="77777777" w:rsidR="00881260" w:rsidRPr="00881260" w:rsidRDefault="00881260" w:rsidP="00881260">
            <w:pPr>
              <w:adjustRightInd w:val="0"/>
              <w:snapToGrid w:val="0"/>
              <w:jc w:val="center"/>
              <w:rPr>
                <w:b/>
                <w:sz w:val="23"/>
                <w:szCs w:val="23"/>
              </w:rPr>
            </w:pPr>
            <w:r w:rsidRPr="00881260">
              <w:rPr>
                <w:b/>
                <w:sz w:val="23"/>
                <w:szCs w:val="23"/>
              </w:rPr>
              <w:t>11.552</w:t>
            </w:r>
          </w:p>
        </w:tc>
        <w:tc>
          <w:tcPr>
            <w:tcW w:w="1134" w:type="dxa"/>
          </w:tcPr>
          <w:p w14:paraId="42F89C92" w14:textId="77777777" w:rsidR="00881260" w:rsidRPr="00881260" w:rsidRDefault="00881260" w:rsidP="00881260">
            <w:pPr>
              <w:adjustRightInd w:val="0"/>
              <w:snapToGrid w:val="0"/>
              <w:jc w:val="both"/>
              <w:rPr>
                <w:sz w:val="23"/>
                <w:szCs w:val="23"/>
                <w:lang w:val="vi-VN"/>
              </w:rPr>
            </w:pPr>
          </w:p>
        </w:tc>
      </w:tr>
    </w:tbl>
    <w:p w14:paraId="58DF7CA9" w14:textId="77777777" w:rsidR="007C5BA4" w:rsidRDefault="007C5BA4" w:rsidP="00881260">
      <w:pPr>
        <w:spacing w:before="120" w:after="100"/>
        <w:ind w:right="-108" w:firstLine="680"/>
        <w:jc w:val="both"/>
        <w:rPr>
          <w:b/>
          <w:noProof/>
          <w:sz w:val="28"/>
        </w:rPr>
      </w:pPr>
    </w:p>
    <w:p w14:paraId="2B039963" w14:textId="77777777" w:rsidR="007C5BA4" w:rsidRDefault="007C5BA4" w:rsidP="00881260">
      <w:pPr>
        <w:spacing w:before="120" w:after="100"/>
        <w:ind w:right="-108" w:firstLine="680"/>
        <w:jc w:val="both"/>
        <w:rPr>
          <w:b/>
          <w:noProof/>
          <w:sz w:val="28"/>
        </w:rPr>
      </w:pPr>
    </w:p>
    <w:p w14:paraId="48BA53E0" w14:textId="77777777" w:rsidR="007C5BA4" w:rsidRDefault="007C5BA4" w:rsidP="00881260">
      <w:pPr>
        <w:spacing w:before="120" w:after="100"/>
        <w:ind w:right="-108" w:firstLine="680"/>
        <w:jc w:val="both"/>
        <w:rPr>
          <w:b/>
          <w:noProof/>
          <w:sz w:val="28"/>
        </w:rPr>
      </w:pPr>
    </w:p>
    <w:p w14:paraId="287191B1" w14:textId="77777777" w:rsidR="007C5BA4" w:rsidRDefault="007C5BA4" w:rsidP="00881260">
      <w:pPr>
        <w:spacing w:before="120" w:after="100"/>
        <w:ind w:right="-108" w:firstLine="680"/>
        <w:jc w:val="both"/>
        <w:rPr>
          <w:b/>
          <w:noProof/>
          <w:sz w:val="28"/>
        </w:rPr>
      </w:pPr>
    </w:p>
    <w:p w14:paraId="23FEA2F1" w14:textId="77777777" w:rsidR="007C5BA4" w:rsidRDefault="007C5BA4" w:rsidP="00881260">
      <w:pPr>
        <w:spacing w:before="120" w:after="100"/>
        <w:ind w:right="-108" w:firstLine="680"/>
        <w:jc w:val="both"/>
        <w:rPr>
          <w:b/>
          <w:noProof/>
          <w:sz w:val="28"/>
        </w:rPr>
      </w:pPr>
    </w:p>
    <w:p w14:paraId="210BEB54" w14:textId="6CEB8FF5" w:rsidR="00881260" w:rsidRPr="00881260" w:rsidRDefault="00881260" w:rsidP="00881260">
      <w:pPr>
        <w:spacing w:before="120" w:after="100"/>
        <w:ind w:right="-108" w:firstLine="680"/>
        <w:jc w:val="both"/>
        <w:rPr>
          <w:b/>
          <w:noProof/>
          <w:sz w:val="28"/>
        </w:rPr>
      </w:pPr>
      <w:r w:rsidRPr="00881260">
        <w:rPr>
          <w:b/>
          <w:noProof/>
          <w:sz w:val="28"/>
        </w:rPr>
        <w:lastRenderedPageBreak/>
        <w:t>2. So sánh mức tăng giá tiêu thụ nước sạch so với Quyết định số 46/2011/QĐ-UBND ngày 22/8/2011: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2440"/>
        <w:gridCol w:w="1858"/>
        <w:gridCol w:w="1432"/>
        <w:gridCol w:w="1636"/>
        <w:gridCol w:w="1343"/>
      </w:tblGrid>
      <w:tr w:rsidR="00881260" w:rsidRPr="00881260" w14:paraId="5FEB1310" w14:textId="77777777" w:rsidTr="00CB49FE">
        <w:trPr>
          <w:tblHeader/>
        </w:trPr>
        <w:tc>
          <w:tcPr>
            <w:tcW w:w="500" w:type="pct"/>
            <w:vAlign w:val="center"/>
          </w:tcPr>
          <w:p w14:paraId="614FBD5F" w14:textId="77777777" w:rsidR="00881260" w:rsidRPr="00881260" w:rsidRDefault="00881260" w:rsidP="00881260">
            <w:pPr>
              <w:adjustRightInd w:val="0"/>
              <w:snapToGrid w:val="0"/>
              <w:jc w:val="center"/>
              <w:rPr>
                <w:b/>
                <w:sz w:val="26"/>
                <w:szCs w:val="26"/>
              </w:rPr>
            </w:pPr>
            <w:r w:rsidRPr="00881260">
              <w:rPr>
                <w:b/>
                <w:sz w:val="26"/>
                <w:szCs w:val="26"/>
              </w:rPr>
              <w:t>STT</w:t>
            </w:r>
          </w:p>
        </w:tc>
        <w:tc>
          <w:tcPr>
            <w:tcW w:w="1260" w:type="pct"/>
            <w:vAlign w:val="center"/>
          </w:tcPr>
          <w:p w14:paraId="4B20C6C5" w14:textId="77777777" w:rsidR="00881260" w:rsidRPr="00881260" w:rsidRDefault="00881260" w:rsidP="00881260">
            <w:pPr>
              <w:adjustRightInd w:val="0"/>
              <w:snapToGrid w:val="0"/>
              <w:jc w:val="center"/>
              <w:rPr>
                <w:b/>
                <w:sz w:val="26"/>
                <w:szCs w:val="26"/>
              </w:rPr>
            </w:pPr>
            <w:r w:rsidRPr="00881260">
              <w:rPr>
                <w:b/>
                <w:sz w:val="23"/>
                <w:szCs w:val="23"/>
              </w:rPr>
              <w:t>Nhóm khách hàng sử dụng nước sạch</w:t>
            </w:r>
          </w:p>
        </w:tc>
        <w:tc>
          <w:tcPr>
            <w:tcW w:w="960" w:type="pct"/>
            <w:vAlign w:val="center"/>
          </w:tcPr>
          <w:p w14:paraId="43764490" w14:textId="77777777" w:rsidR="00881260" w:rsidRPr="00881260" w:rsidRDefault="00881260" w:rsidP="00881260">
            <w:pPr>
              <w:adjustRightInd w:val="0"/>
              <w:snapToGrid w:val="0"/>
              <w:jc w:val="center"/>
              <w:rPr>
                <w:b/>
                <w:sz w:val="26"/>
                <w:szCs w:val="26"/>
              </w:rPr>
            </w:pPr>
            <w:r w:rsidRPr="00881260">
              <w:rPr>
                <w:b/>
                <w:sz w:val="23"/>
                <w:szCs w:val="23"/>
              </w:rPr>
              <w:t>Lượng nước sạch sử dụng/tháng</w:t>
            </w:r>
          </w:p>
        </w:tc>
        <w:tc>
          <w:tcPr>
            <w:tcW w:w="740" w:type="pct"/>
            <w:vAlign w:val="center"/>
          </w:tcPr>
          <w:p w14:paraId="2B312FB7" w14:textId="77777777" w:rsidR="00881260" w:rsidRPr="00881260" w:rsidRDefault="00881260" w:rsidP="00881260">
            <w:pPr>
              <w:adjustRightInd w:val="0"/>
              <w:snapToGrid w:val="0"/>
              <w:jc w:val="center"/>
              <w:rPr>
                <w:b/>
                <w:sz w:val="26"/>
                <w:szCs w:val="26"/>
              </w:rPr>
            </w:pPr>
            <w:r w:rsidRPr="00881260">
              <w:rPr>
                <w:b/>
                <w:sz w:val="26"/>
                <w:szCs w:val="26"/>
              </w:rPr>
              <w:t>Giá bán đề nghị phê duyệt (đồng)</w:t>
            </w:r>
          </w:p>
        </w:tc>
        <w:tc>
          <w:tcPr>
            <w:tcW w:w="845" w:type="pct"/>
            <w:vAlign w:val="center"/>
          </w:tcPr>
          <w:p w14:paraId="19004C6F" w14:textId="77777777" w:rsidR="00881260" w:rsidRPr="00881260" w:rsidRDefault="00881260" w:rsidP="00881260">
            <w:pPr>
              <w:adjustRightInd w:val="0"/>
              <w:snapToGrid w:val="0"/>
              <w:jc w:val="center"/>
              <w:rPr>
                <w:b/>
                <w:sz w:val="26"/>
                <w:szCs w:val="26"/>
              </w:rPr>
            </w:pPr>
            <w:r w:rsidRPr="00881260">
              <w:rPr>
                <w:b/>
                <w:sz w:val="26"/>
                <w:szCs w:val="26"/>
              </w:rPr>
              <w:t>Giá bán tại Quyết định số 46/2011/QĐ-UBND</w:t>
            </w:r>
          </w:p>
        </w:tc>
        <w:tc>
          <w:tcPr>
            <w:tcW w:w="694" w:type="pct"/>
            <w:vAlign w:val="center"/>
          </w:tcPr>
          <w:p w14:paraId="3B8106B5" w14:textId="77777777" w:rsidR="00881260" w:rsidRPr="00881260" w:rsidRDefault="00881260" w:rsidP="00881260">
            <w:pPr>
              <w:adjustRightInd w:val="0"/>
              <w:snapToGrid w:val="0"/>
              <w:jc w:val="center"/>
              <w:rPr>
                <w:b/>
                <w:sz w:val="26"/>
                <w:szCs w:val="26"/>
              </w:rPr>
            </w:pPr>
            <w:r w:rsidRPr="00881260">
              <w:rPr>
                <w:b/>
                <w:sz w:val="26"/>
                <w:szCs w:val="26"/>
              </w:rPr>
              <w:t>Tỷ lệ tăng/giảm</w:t>
            </w:r>
          </w:p>
        </w:tc>
      </w:tr>
      <w:tr w:rsidR="00881260" w:rsidRPr="00881260" w14:paraId="16AB3FF2" w14:textId="77777777" w:rsidTr="00CB49FE">
        <w:trPr>
          <w:tblHeader/>
        </w:trPr>
        <w:tc>
          <w:tcPr>
            <w:tcW w:w="500" w:type="pct"/>
            <w:vMerge w:val="restart"/>
            <w:vAlign w:val="center"/>
          </w:tcPr>
          <w:p w14:paraId="58472753" w14:textId="77777777" w:rsidR="00881260" w:rsidRPr="00881260" w:rsidRDefault="00881260" w:rsidP="00881260">
            <w:pPr>
              <w:adjustRightInd w:val="0"/>
              <w:snapToGrid w:val="0"/>
              <w:jc w:val="center"/>
              <w:rPr>
                <w:b/>
                <w:sz w:val="26"/>
                <w:szCs w:val="26"/>
              </w:rPr>
            </w:pPr>
            <w:r w:rsidRPr="00881260">
              <w:rPr>
                <w:b/>
                <w:sz w:val="26"/>
                <w:szCs w:val="26"/>
              </w:rPr>
              <w:t>Nhóm 1</w:t>
            </w:r>
          </w:p>
        </w:tc>
        <w:tc>
          <w:tcPr>
            <w:tcW w:w="1260" w:type="pct"/>
            <w:vMerge w:val="restart"/>
            <w:vAlign w:val="center"/>
          </w:tcPr>
          <w:p w14:paraId="3CBC852D" w14:textId="77777777" w:rsidR="00881260" w:rsidRPr="00881260" w:rsidRDefault="00881260" w:rsidP="00881260">
            <w:pPr>
              <w:adjustRightInd w:val="0"/>
              <w:snapToGrid w:val="0"/>
              <w:jc w:val="both"/>
              <w:rPr>
                <w:b/>
                <w:sz w:val="26"/>
                <w:szCs w:val="26"/>
              </w:rPr>
            </w:pPr>
            <w:r w:rsidRPr="00881260">
              <w:rPr>
                <w:b/>
                <w:sz w:val="26"/>
                <w:szCs w:val="26"/>
              </w:rPr>
              <w:t>Hộ dân cư</w:t>
            </w:r>
          </w:p>
        </w:tc>
        <w:tc>
          <w:tcPr>
            <w:tcW w:w="960" w:type="pct"/>
            <w:vAlign w:val="center"/>
          </w:tcPr>
          <w:p w14:paraId="274DEA03" w14:textId="77777777" w:rsidR="00881260" w:rsidRPr="00881260" w:rsidRDefault="00881260" w:rsidP="00881260">
            <w:pPr>
              <w:rPr>
                <w:sz w:val="26"/>
                <w:szCs w:val="26"/>
              </w:rPr>
            </w:pPr>
            <w:r w:rsidRPr="00881260">
              <w:rPr>
                <w:sz w:val="26"/>
                <w:szCs w:val="26"/>
              </w:rPr>
              <w:t>Mức 1: Mức dưới 10m</w:t>
            </w:r>
            <w:r w:rsidRPr="00881260">
              <w:rPr>
                <w:sz w:val="26"/>
                <w:szCs w:val="26"/>
                <w:vertAlign w:val="superscript"/>
              </w:rPr>
              <w:t>3</w:t>
            </w:r>
            <w:r w:rsidRPr="00881260">
              <w:rPr>
                <w:sz w:val="26"/>
                <w:szCs w:val="26"/>
              </w:rPr>
              <w:t>/đồng hồ/tháng</w:t>
            </w:r>
          </w:p>
        </w:tc>
        <w:tc>
          <w:tcPr>
            <w:tcW w:w="740" w:type="pct"/>
            <w:vAlign w:val="center"/>
          </w:tcPr>
          <w:p w14:paraId="731746AF" w14:textId="77777777" w:rsidR="00881260" w:rsidRPr="00881260" w:rsidRDefault="00881260" w:rsidP="00881260">
            <w:pPr>
              <w:adjustRightInd w:val="0"/>
              <w:snapToGrid w:val="0"/>
              <w:jc w:val="center"/>
              <w:rPr>
                <w:sz w:val="26"/>
                <w:szCs w:val="26"/>
              </w:rPr>
            </w:pPr>
            <w:r w:rsidRPr="00881260">
              <w:rPr>
                <w:sz w:val="26"/>
                <w:szCs w:val="26"/>
              </w:rPr>
              <w:t>7.900</w:t>
            </w:r>
          </w:p>
        </w:tc>
        <w:tc>
          <w:tcPr>
            <w:tcW w:w="845" w:type="pct"/>
            <w:vAlign w:val="center"/>
          </w:tcPr>
          <w:p w14:paraId="5EFFA05B" w14:textId="77777777" w:rsidR="00881260" w:rsidRPr="00881260" w:rsidRDefault="00881260" w:rsidP="00881260">
            <w:pPr>
              <w:adjustRightInd w:val="0"/>
              <w:snapToGrid w:val="0"/>
              <w:jc w:val="center"/>
              <w:rPr>
                <w:sz w:val="26"/>
                <w:szCs w:val="26"/>
              </w:rPr>
            </w:pPr>
            <w:r w:rsidRPr="00881260">
              <w:rPr>
                <w:sz w:val="26"/>
                <w:szCs w:val="26"/>
              </w:rPr>
              <w:t>6.800</w:t>
            </w:r>
          </w:p>
        </w:tc>
        <w:tc>
          <w:tcPr>
            <w:tcW w:w="694" w:type="pct"/>
            <w:vAlign w:val="center"/>
          </w:tcPr>
          <w:p w14:paraId="0FB7BBC5" w14:textId="77777777" w:rsidR="00881260" w:rsidRPr="00881260" w:rsidRDefault="00881260" w:rsidP="00881260">
            <w:pPr>
              <w:adjustRightInd w:val="0"/>
              <w:snapToGrid w:val="0"/>
              <w:jc w:val="center"/>
              <w:rPr>
                <w:b/>
                <w:sz w:val="26"/>
                <w:szCs w:val="26"/>
              </w:rPr>
            </w:pPr>
            <w:r w:rsidRPr="00881260">
              <w:rPr>
                <w:b/>
                <w:sz w:val="26"/>
                <w:szCs w:val="26"/>
              </w:rPr>
              <w:t>+16,18%</w:t>
            </w:r>
          </w:p>
        </w:tc>
      </w:tr>
      <w:tr w:rsidR="00881260" w:rsidRPr="00881260" w14:paraId="5BAAA5FB" w14:textId="77777777" w:rsidTr="00CB49FE">
        <w:trPr>
          <w:tblHeader/>
        </w:trPr>
        <w:tc>
          <w:tcPr>
            <w:tcW w:w="500" w:type="pct"/>
            <w:vMerge/>
          </w:tcPr>
          <w:p w14:paraId="42C0F66A" w14:textId="77777777" w:rsidR="00881260" w:rsidRPr="00881260" w:rsidRDefault="00881260" w:rsidP="00881260">
            <w:pPr>
              <w:adjustRightInd w:val="0"/>
              <w:snapToGrid w:val="0"/>
              <w:jc w:val="both"/>
              <w:rPr>
                <w:sz w:val="26"/>
                <w:szCs w:val="26"/>
                <w:lang w:val="vi-VN"/>
              </w:rPr>
            </w:pPr>
          </w:p>
        </w:tc>
        <w:tc>
          <w:tcPr>
            <w:tcW w:w="1260" w:type="pct"/>
            <w:vMerge/>
            <w:vAlign w:val="center"/>
          </w:tcPr>
          <w:p w14:paraId="7FBA0FA1" w14:textId="77777777" w:rsidR="00881260" w:rsidRPr="00881260" w:rsidRDefault="00881260" w:rsidP="00881260">
            <w:pPr>
              <w:rPr>
                <w:sz w:val="26"/>
                <w:szCs w:val="26"/>
              </w:rPr>
            </w:pPr>
          </w:p>
        </w:tc>
        <w:tc>
          <w:tcPr>
            <w:tcW w:w="960" w:type="pct"/>
            <w:vAlign w:val="center"/>
          </w:tcPr>
          <w:p w14:paraId="1FF68C80" w14:textId="77777777" w:rsidR="00881260" w:rsidRPr="00881260" w:rsidRDefault="00881260" w:rsidP="00881260">
            <w:pPr>
              <w:rPr>
                <w:sz w:val="26"/>
                <w:szCs w:val="26"/>
              </w:rPr>
            </w:pPr>
            <w:r w:rsidRPr="00881260">
              <w:rPr>
                <w:sz w:val="26"/>
                <w:szCs w:val="26"/>
              </w:rPr>
              <w:t>Mức 2: Từ 10m</w:t>
            </w:r>
            <w:r w:rsidRPr="00881260">
              <w:rPr>
                <w:sz w:val="26"/>
                <w:szCs w:val="26"/>
                <w:vertAlign w:val="superscript"/>
              </w:rPr>
              <w:t>3</w:t>
            </w:r>
            <w:r w:rsidRPr="00881260">
              <w:rPr>
                <w:sz w:val="26"/>
                <w:szCs w:val="26"/>
              </w:rPr>
              <w:t xml:space="preserve"> - 20 m</w:t>
            </w:r>
            <w:r w:rsidRPr="00881260">
              <w:rPr>
                <w:sz w:val="26"/>
                <w:szCs w:val="26"/>
                <w:vertAlign w:val="superscript"/>
              </w:rPr>
              <w:t>3</w:t>
            </w:r>
            <w:r w:rsidRPr="00881260">
              <w:rPr>
                <w:sz w:val="26"/>
                <w:szCs w:val="26"/>
              </w:rPr>
              <w:t>/ đồng hồ/tháng</w:t>
            </w:r>
          </w:p>
        </w:tc>
        <w:tc>
          <w:tcPr>
            <w:tcW w:w="740" w:type="pct"/>
            <w:vAlign w:val="center"/>
          </w:tcPr>
          <w:p w14:paraId="5078CB76" w14:textId="77777777" w:rsidR="00881260" w:rsidRPr="00881260" w:rsidRDefault="00881260" w:rsidP="00881260">
            <w:pPr>
              <w:adjustRightInd w:val="0"/>
              <w:snapToGrid w:val="0"/>
              <w:jc w:val="center"/>
              <w:rPr>
                <w:sz w:val="26"/>
                <w:szCs w:val="26"/>
              </w:rPr>
            </w:pPr>
            <w:r w:rsidRPr="00881260">
              <w:rPr>
                <w:sz w:val="26"/>
                <w:szCs w:val="26"/>
              </w:rPr>
              <w:t>11.500</w:t>
            </w:r>
          </w:p>
        </w:tc>
        <w:tc>
          <w:tcPr>
            <w:tcW w:w="845" w:type="pct"/>
            <w:vAlign w:val="center"/>
          </w:tcPr>
          <w:p w14:paraId="45225A37" w14:textId="77777777" w:rsidR="00881260" w:rsidRPr="00881260" w:rsidRDefault="00881260" w:rsidP="00881260">
            <w:pPr>
              <w:adjustRightInd w:val="0"/>
              <w:snapToGrid w:val="0"/>
              <w:jc w:val="center"/>
              <w:rPr>
                <w:sz w:val="26"/>
                <w:szCs w:val="26"/>
              </w:rPr>
            </w:pPr>
            <w:r w:rsidRPr="00881260">
              <w:rPr>
                <w:sz w:val="26"/>
                <w:szCs w:val="26"/>
              </w:rPr>
              <w:t>9.800</w:t>
            </w:r>
          </w:p>
        </w:tc>
        <w:tc>
          <w:tcPr>
            <w:tcW w:w="694" w:type="pct"/>
            <w:vAlign w:val="center"/>
          </w:tcPr>
          <w:p w14:paraId="51EBBC7B" w14:textId="77777777" w:rsidR="00881260" w:rsidRPr="00881260" w:rsidRDefault="00881260" w:rsidP="00881260">
            <w:pPr>
              <w:adjustRightInd w:val="0"/>
              <w:snapToGrid w:val="0"/>
              <w:jc w:val="center"/>
              <w:rPr>
                <w:b/>
                <w:sz w:val="26"/>
                <w:szCs w:val="26"/>
              </w:rPr>
            </w:pPr>
            <w:r w:rsidRPr="00881260">
              <w:rPr>
                <w:b/>
                <w:sz w:val="26"/>
                <w:szCs w:val="26"/>
              </w:rPr>
              <w:t>+17,35%</w:t>
            </w:r>
          </w:p>
        </w:tc>
      </w:tr>
      <w:tr w:rsidR="00881260" w:rsidRPr="00881260" w14:paraId="0D08197C" w14:textId="77777777" w:rsidTr="00CB49FE">
        <w:trPr>
          <w:tblHeader/>
        </w:trPr>
        <w:tc>
          <w:tcPr>
            <w:tcW w:w="500" w:type="pct"/>
            <w:vMerge/>
          </w:tcPr>
          <w:p w14:paraId="3CAE6C38" w14:textId="77777777" w:rsidR="00881260" w:rsidRPr="00881260" w:rsidRDefault="00881260" w:rsidP="00881260">
            <w:pPr>
              <w:adjustRightInd w:val="0"/>
              <w:snapToGrid w:val="0"/>
              <w:jc w:val="both"/>
              <w:rPr>
                <w:sz w:val="26"/>
                <w:szCs w:val="26"/>
                <w:lang w:val="vi-VN"/>
              </w:rPr>
            </w:pPr>
          </w:p>
        </w:tc>
        <w:tc>
          <w:tcPr>
            <w:tcW w:w="1260" w:type="pct"/>
            <w:vMerge/>
            <w:vAlign w:val="center"/>
          </w:tcPr>
          <w:p w14:paraId="0A7A789D" w14:textId="77777777" w:rsidR="00881260" w:rsidRPr="00881260" w:rsidRDefault="00881260" w:rsidP="00881260">
            <w:pPr>
              <w:rPr>
                <w:sz w:val="26"/>
                <w:szCs w:val="26"/>
              </w:rPr>
            </w:pPr>
          </w:p>
        </w:tc>
        <w:tc>
          <w:tcPr>
            <w:tcW w:w="960" w:type="pct"/>
            <w:vAlign w:val="center"/>
          </w:tcPr>
          <w:p w14:paraId="1771D177" w14:textId="77777777" w:rsidR="00881260" w:rsidRPr="00881260" w:rsidRDefault="00881260" w:rsidP="00881260">
            <w:pPr>
              <w:rPr>
                <w:sz w:val="26"/>
                <w:szCs w:val="26"/>
              </w:rPr>
            </w:pPr>
            <w:r w:rsidRPr="00881260">
              <w:rPr>
                <w:sz w:val="26"/>
                <w:szCs w:val="26"/>
              </w:rPr>
              <w:t>- Mức 3: Từ trên 20m</w:t>
            </w:r>
            <w:r w:rsidRPr="00881260">
              <w:rPr>
                <w:sz w:val="26"/>
                <w:szCs w:val="26"/>
                <w:vertAlign w:val="superscript"/>
              </w:rPr>
              <w:t>3</w:t>
            </w:r>
            <w:r w:rsidRPr="00881260">
              <w:rPr>
                <w:sz w:val="26"/>
                <w:szCs w:val="26"/>
              </w:rPr>
              <w:t>-30m</w:t>
            </w:r>
            <w:r w:rsidRPr="00881260">
              <w:rPr>
                <w:sz w:val="26"/>
                <w:szCs w:val="26"/>
                <w:vertAlign w:val="superscript"/>
              </w:rPr>
              <w:t>3</w:t>
            </w:r>
            <w:r w:rsidRPr="00881260">
              <w:rPr>
                <w:sz w:val="26"/>
                <w:szCs w:val="26"/>
              </w:rPr>
              <w:t>/đồng hồ/tháng</w:t>
            </w:r>
          </w:p>
        </w:tc>
        <w:tc>
          <w:tcPr>
            <w:tcW w:w="740" w:type="pct"/>
            <w:vAlign w:val="center"/>
          </w:tcPr>
          <w:p w14:paraId="047D7F14" w14:textId="77777777" w:rsidR="00881260" w:rsidRPr="00881260" w:rsidRDefault="00881260" w:rsidP="00881260">
            <w:pPr>
              <w:adjustRightInd w:val="0"/>
              <w:snapToGrid w:val="0"/>
              <w:jc w:val="center"/>
              <w:rPr>
                <w:sz w:val="26"/>
                <w:szCs w:val="26"/>
              </w:rPr>
            </w:pPr>
            <w:r w:rsidRPr="00881260">
              <w:rPr>
                <w:sz w:val="26"/>
                <w:szCs w:val="26"/>
              </w:rPr>
              <w:t>12.900</w:t>
            </w:r>
          </w:p>
        </w:tc>
        <w:tc>
          <w:tcPr>
            <w:tcW w:w="845" w:type="pct"/>
            <w:vAlign w:val="center"/>
          </w:tcPr>
          <w:p w14:paraId="5D80C242" w14:textId="77777777" w:rsidR="00881260" w:rsidRPr="00881260" w:rsidRDefault="00881260" w:rsidP="00881260">
            <w:pPr>
              <w:adjustRightInd w:val="0"/>
              <w:snapToGrid w:val="0"/>
              <w:jc w:val="center"/>
              <w:rPr>
                <w:sz w:val="26"/>
                <w:szCs w:val="26"/>
              </w:rPr>
            </w:pPr>
            <w:r w:rsidRPr="00881260">
              <w:rPr>
                <w:sz w:val="26"/>
                <w:szCs w:val="26"/>
              </w:rPr>
              <w:t>11.000</w:t>
            </w:r>
          </w:p>
        </w:tc>
        <w:tc>
          <w:tcPr>
            <w:tcW w:w="694" w:type="pct"/>
            <w:vAlign w:val="center"/>
          </w:tcPr>
          <w:p w14:paraId="2FA94D52" w14:textId="77777777" w:rsidR="00881260" w:rsidRPr="00881260" w:rsidRDefault="00881260" w:rsidP="00881260">
            <w:pPr>
              <w:adjustRightInd w:val="0"/>
              <w:snapToGrid w:val="0"/>
              <w:jc w:val="center"/>
              <w:rPr>
                <w:b/>
                <w:sz w:val="26"/>
                <w:szCs w:val="26"/>
              </w:rPr>
            </w:pPr>
            <w:r w:rsidRPr="00881260">
              <w:rPr>
                <w:b/>
                <w:sz w:val="26"/>
                <w:szCs w:val="26"/>
              </w:rPr>
              <w:t>+17,27%</w:t>
            </w:r>
          </w:p>
        </w:tc>
      </w:tr>
      <w:tr w:rsidR="00881260" w:rsidRPr="00881260" w14:paraId="3BFC36FD" w14:textId="77777777" w:rsidTr="00CB49FE">
        <w:trPr>
          <w:tblHeader/>
        </w:trPr>
        <w:tc>
          <w:tcPr>
            <w:tcW w:w="500" w:type="pct"/>
            <w:vMerge/>
          </w:tcPr>
          <w:p w14:paraId="0AC66398" w14:textId="77777777" w:rsidR="00881260" w:rsidRPr="00881260" w:rsidRDefault="00881260" w:rsidP="00881260">
            <w:pPr>
              <w:adjustRightInd w:val="0"/>
              <w:snapToGrid w:val="0"/>
              <w:jc w:val="both"/>
              <w:rPr>
                <w:sz w:val="26"/>
                <w:szCs w:val="26"/>
                <w:lang w:val="vi-VN"/>
              </w:rPr>
            </w:pPr>
          </w:p>
        </w:tc>
        <w:tc>
          <w:tcPr>
            <w:tcW w:w="1260" w:type="pct"/>
            <w:vMerge/>
            <w:vAlign w:val="center"/>
          </w:tcPr>
          <w:p w14:paraId="77E784DF" w14:textId="77777777" w:rsidR="00881260" w:rsidRPr="00881260" w:rsidRDefault="00881260" w:rsidP="00881260">
            <w:pPr>
              <w:rPr>
                <w:sz w:val="26"/>
                <w:szCs w:val="26"/>
              </w:rPr>
            </w:pPr>
          </w:p>
        </w:tc>
        <w:tc>
          <w:tcPr>
            <w:tcW w:w="960" w:type="pct"/>
            <w:vAlign w:val="center"/>
          </w:tcPr>
          <w:p w14:paraId="07E16A3B" w14:textId="77777777" w:rsidR="00881260" w:rsidRPr="00881260" w:rsidRDefault="00881260" w:rsidP="00881260">
            <w:pPr>
              <w:rPr>
                <w:sz w:val="26"/>
                <w:szCs w:val="26"/>
              </w:rPr>
            </w:pPr>
            <w:r w:rsidRPr="00881260">
              <w:rPr>
                <w:sz w:val="26"/>
                <w:szCs w:val="26"/>
              </w:rPr>
              <w:t>- Mức 4: Trên 30m</w:t>
            </w:r>
            <w:r w:rsidRPr="00881260">
              <w:rPr>
                <w:sz w:val="26"/>
                <w:szCs w:val="26"/>
                <w:vertAlign w:val="superscript"/>
              </w:rPr>
              <w:t>3</w:t>
            </w:r>
            <w:r w:rsidRPr="00881260">
              <w:rPr>
                <w:sz w:val="26"/>
                <w:szCs w:val="26"/>
              </w:rPr>
              <w:t>/đồng hồ/tháng</w:t>
            </w:r>
          </w:p>
        </w:tc>
        <w:tc>
          <w:tcPr>
            <w:tcW w:w="740" w:type="pct"/>
            <w:vAlign w:val="center"/>
          </w:tcPr>
          <w:p w14:paraId="6DB51FCA" w14:textId="77777777" w:rsidR="00881260" w:rsidRPr="00881260" w:rsidRDefault="00881260" w:rsidP="00881260">
            <w:pPr>
              <w:adjustRightInd w:val="0"/>
              <w:snapToGrid w:val="0"/>
              <w:jc w:val="center"/>
              <w:rPr>
                <w:sz w:val="26"/>
                <w:szCs w:val="26"/>
              </w:rPr>
            </w:pPr>
            <w:r w:rsidRPr="00881260">
              <w:rPr>
                <w:sz w:val="26"/>
                <w:szCs w:val="26"/>
              </w:rPr>
              <w:t>13.600</w:t>
            </w:r>
          </w:p>
        </w:tc>
        <w:tc>
          <w:tcPr>
            <w:tcW w:w="845" w:type="pct"/>
            <w:vAlign w:val="center"/>
          </w:tcPr>
          <w:p w14:paraId="589177BA" w14:textId="77777777" w:rsidR="00881260" w:rsidRPr="00881260" w:rsidRDefault="00881260" w:rsidP="00881260">
            <w:pPr>
              <w:adjustRightInd w:val="0"/>
              <w:snapToGrid w:val="0"/>
              <w:jc w:val="center"/>
              <w:rPr>
                <w:sz w:val="26"/>
                <w:szCs w:val="26"/>
              </w:rPr>
            </w:pPr>
            <w:r w:rsidRPr="00881260">
              <w:rPr>
                <w:sz w:val="26"/>
                <w:szCs w:val="26"/>
              </w:rPr>
              <w:t>18.000</w:t>
            </w:r>
          </w:p>
        </w:tc>
        <w:tc>
          <w:tcPr>
            <w:tcW w:w="694" w:type="pct"/>
            <w:vAlign w:val="center"/>
          </w:tcPr>
          <w:p w14:paraId="5FAAF169" w14:textId="77777777" w:rsidR="00881260" w:rsidRPr="00881260" w:rsidRDefault="00881260" w:rsidP="00881260">
            <w:pPr>
              <w:adjustRightInd w:val="0"/>
              <w:snapToGrid w:val="0"/>
              <w:jc w:val="center"/>
              <w:rPr>
                <w:b/>
                <w:sz w:val="26"/>
                <w:szCs w:val="26"/>
              </w:rPr>
            </w:pPr>
            <w:r w:rsidRPr="00881260">
              <w:rPr>
                <w:b/>
                <w:sz w:val="26"/>
                <w:szCs w:val="26"/>
              </w:rPr>
              <w:t>- 24,44%</w:t>
            </w:r>
          </w:p>
        </w:tc>
      </w:tr>
      <w:tr w:rsidR="00881260" w:rsidRPr="00881260" w14:paraId="37C70A6B" w14:textId="77777777" w:rsidTr="00CB49FE">
        <w:trPr>
          <w:tblHeader/>
        </w:trPr>
        <w:tc>
          <w:tcPr>
            <w:tcW w:w="500" w:type="pct"/>
            <w:vAlign w:val="center"/>
          </w:tcPr>
          <w:p w14:paraId="55D66CB0" w14:textId="77777777" w:rsidR="00881260" w:rsidRPr="00881260" w:rsidRDefault="00881260" w:rsidP="00881260">
            <w:pPr>
              <w:adjustRightInd w:val="0"/>
              <w:snapToGrid w:val="0"/>
              <w:jc w:val="center"/>
              <w:rPr>
                <w:b/>
                <w:sz w:val="26"/>
                <w:szCs w:val="26"/>
              </w:rPr>
            </w:pPr>
            <w:r w:rsidRPr="00881260">
              <w:rPr>
                <w:b/>
                <w:sz w:val="26"/>
                <w:szCs w:val="26"/>
              </w:rPr>
              <w:t>Nhóm 2</w:t>
            </w:r>
          </w:p>
        </w:tc>
        <w:tc>
          <w:tcPr>
            <w:tcW w:w="1260" w:type="pct"/>
            <w:vAlign w:val="center"/>
          </w:tcPr>
          <w:p w14:paraId="1E14818B" w14:textId="77777777" w:rsidR="00881260" w:rsidRPr="00881260" w:rsidRDefault="00881260" w:rsidP="00881260">
            <w:pPr>
              <w:rPr>
                <w:b/>
                <w:sz w:val="26"/>
                <w:szCs w:val="26"/>
              </w:rPr>
            </w:pPr>
            <w:r w:rsidRPr="00881260">
              <w:rPr>
                <w:b/>
                <w:sz w:val="26"/>
                <w:szCs w:val="26"/>
              </w:rPr>
              <w:t>Hộ nghèo</w:t>
            </w:r>
          </w:p>
        </w:tc>
        <w:tc>
          <w:tcPr>
            <w:tcW w:w="960" w:type="pct"/>
          </w:tcPr>
          <w:p w14:paraId="13BA70AA" w14:textId="77777777" w:rsidR="00881260" w:rsidRPr="00881260" w:rsidRDefault="00881260" w:rsidP="00881260">
            <w:pPr>
              <w:adjustRightInd w:val="0"/>
              <w:snapToGrid w:val="0"/>
              <w:jc w:val="center"/>
              <w:rPr>
                <w:b/>
                <w:sz w:val="26"/>
                <w:szCs w:val="26"/>
              </w:rPr>
            </w:pPr>
          </w:p>
        </w:tc>
        <w:tc>
          <w:tcPr>
            <w:tcW w:w="740" w:type="pct"/>
            <w:vAlign w:val="center"/>
          </w:tcPr>
          <w:p w14:paraId="7280E1F4" w14:textId="77777777" w:rsidR="00881260" w:rsidRPr="00881260" w:rsidRDefault="00881260" w:rsidP="00881260">
            <w:pPr>
              <w:adjustRightInd w:val="0"/>
              <w:snapToGrid w:val="0"/>
              <w:jc w:val="center"/>
              <w:rPr>
                <w:b/>
                <w:sz w:val="26"/>
                <w:szCs w:val="26"/>
              </w:rPr>
            </w:pPr>
          </w:p>
        </w:tc>
        <w:tc>
          <w:tcPr>
            <w:tcW w:w="845" w:type="pct"/>
            <w:vAlign w:val="center"/>
          </w:tcPr>
          <w:p w14:paraId="55693052" w14:textId="77777777" w:rsidR="00881260" w:rsidRPr="00881260" w:rsidRDefault="00881260" w:rsidP="00881260">
            <w:pPr>
              <w:adjustRightInd w:val="0"/>
              <w:snapToGrid w:val="0"/>
              <w:jc w:val="center"/>
              <w:rPr>
                <w:b/>
                <w:sz w:val="26"/>
                <w:szCs w:val="26"/>
              </w:rPr>
            </w:pPr>
          </w:p>
        </w:tc>
        <w:tc>
          <w:tcPr>
            <w:tcW w:w="694" w:type="pct"/>
            <w:vAlign w:val="center"/>
          </w:tcPr>
          <w:p w14:paraId="3F6F9C2C" w14:textId="77777777" w:rsidR="00881260" w:rsidRPr="00881260" w:rsidRDefault="00881260" w:rsidP="00881260">
            <w:pPr>
              <w:adjustRightInd w:val="0"/>
              <w:snapToGrid w:val="0"/>
              <w:jc w:val="center"/>
              <w:rPr>
                <w:b/>
                <w:sz w:val="26"/>
                <w:szCs w:val="26"/>
              </w:rPr>
            </w:pPr>
          </w:p>
        </w:tc>
      </w:tr>
      <w:tr w:rsidR="00881260" w:rsidRPr="00881260" w14:paraId="266A19D6" w14:textId="77777777" w:rsidTr="00CB49FE">
        <w:trPr>
          <w:tblHeader/>
        </w:trPr>
        <w:tc>
          <w:tcPr>
            <w:tcW w:w="500" w:type="pct"/>
            <w:vAlign w:val="center"/>
          </w:tcPr>
          <w:p w14:paraId="69E77AD1" w14:textId="77777777" w:rsidR="00881260" w:rsidRPr="00881260" w:rsidRDefault="00881260" w:rsidP="00881260">
            <w:pPr>
              <w:adjustRightInd w:val="0"/>
              <w:snapToGrid w:val="0"/>
              <w:jc w:val="center"/>
              <w:rPr>
                <w:b/>
                <w:sz w:val="26"/>
                <w:szCs w:val="26"/>
              </w:rPr>
            </w:pPr>
            <w:r w:rsidRPr="00881260">
              <w:rPr>
                <w:b/>
                <w:sz w:val="26"/>
                <w:szCs w:val="26"/>
              </w:rPr>
              <w:t>Nhóm 3</w:t>
            </w:r>
          </w:p>
        </w:tc>
        <w:tc>
          <w:tcPr>
            <w:tcW w:w="1260" w:type="pct"/>
            <w:vAlign w:val="center"/>
          </w:tcPr>
          <w:p w14:paraId="705F9CDB" w14:textId="77777777" w:rsidR="00881260" w:rsidRPr="00881260" w:rsidRDefault="00881260" w:rsidP="00881260">
            <w:pPr>
              <w:rPr>
                <w:sz w:val="26"/>
                <w:szCs w:val="26"/>
              </w:rPr>
            </w:pPr>
            <w:r w:rsidRPr="00881260">
              <w:rPr>
                <w:b/>
                <w:bCs/>
                <w:sz w:val="26"/>
                <w:szCs w:val="26"/>
              </w:rPr>
              <w:t>Cơ quan hành chính nhà nước; đơn vị sự nghiệp công lập; trường học, bệnh viện, cơ sở khám, chữa bệnh (công lập và tư nhân); phục vụ mục đích công cộng (phi lợi nhuận).</w:t>
            </w:r>
          </w:p>
        </w:tc>
        <w:tc>
          <w:tcPr>
            <w:tcW w:w="960" w:type="pct"/>
            <w:vAlign w:val="center"/>
          </w:tcPr>
          <w:p w14:paraId="1F118435" w14:textId="77777777" w:rsidR="00881260" w:rsidRPr="00881260" w:rsidRDefault="00881260" w:rsidP="00881260">
            <w:pPr>
              <w:jc w:val="center"/>
              <w:rPr>
                <w:szCs w:val="20"/>
              </w:rPr>
            </w:pPr>
            <w:r w:rsidRPr="00881260">
              <w:rPr>
                <w:sz w:val="23"/>
                <w:szCs w:val="23"/>
              </w:rPr>
              <w:t>Theo thực tế sử dụng</w:t>
            </w:r>
          </w:p>
        </w:tc>
        <w:tc>
          <w:tcPr>
            <w:tcW w:w="740" w:type="pct"/>
            <w:vAlign w:val="center"/>
          </w:tcPr>
          <w:p w14:paraId="7E09A876" w14:textId="77777777" w:rsidR="00881260" w:rsidRPr="00881260" w:rsidRDefault="00881260" w:rsidP="00881260">
            <w:pPr>
              <w:adjustRightInd w:val="0"/>
              <w:snapToGrid w:val="0"/>
              <w:jc w:val="center"/>
              <w:rPr>
                <w:sz w:val="26"/>
                <w:szCs w:val="26"/>
              </w:rPr>
            </w:pPr>
            <w:r w:rsidRPr="00881260">
              <w:rPr>
                <w:sz w:val="26"/>
                <w:szCs w:val="26"/>
              </w:rPr>
              <w:t>11.700</w:t>
            </w:r>
          </w:p>
        </w:tc>
        <w:tc>
          <w:tcPr>
            <w:tcW w:w="845" w:type="pct"/>
            <w:vAlign w:val="center"/>
          </w:tcPr>
          <w:p w14:paraId="5390B472" w14:textId="77777777" w:rsidR="00881260" w:rsidRPr="00881260" w:rsidRDefault="00881260" w:rsidP="00881260">
            <w:pPr>
              <w:adjustRightInd w:val="0"/>
              <w:snapToGrid w:val="0"/>
              <w:jc w:val="center"/>
              <w:rPr>
                <w:sz w:val="26"/>
                <w:szCs w:val="26"/>
              </w:rPr>
            </w:pPr>
            <w:r w:rsidRPr="00881260">
              <w:rPr>
                <w:sz w:val="26"/>
                <w:szCs w:val="26"/>
              </w:rPr>
              <w:t>10.000</w:t>
            </w:r>
          </w:p>
        </w:tc>
        <w:tc>
          <w:tcPr>
            <w:tcW w:w="694" w:type="pct"/>
            <w:vAlign w:val="center"/>
          </w:tcPr>
          <w:p w14:paraId="716763BC" w14:textId="77777777" w:rsidR="00881260" w:rsidRPr="00881260" w:rsidRDefault="00881260" w:rsidP="00881260">
            <w:pPr>
              <w:adjustRightInd w:val="0"/>
              <w:snapToGrid w:val="0"/>
              <w:jc w:val="center"/>
              <w:rPr>
                <w:b/>
                <w:sz w:val="26"/>
                <w:szCs w:val="26"/>
              </w:rPr>
            </w:pPr>
            <w:r w:rsidRPr="00881260">
              <w:rPr>
                <w:b/>
                <w:sz w:val="26"/>
                <w:szCs w:val="26"/>
              </w:rPr>
              <w:t>+17,00%</w:t>
            </w:r>
          </w:p>
        </w:tc>
      </w:tr>
      <w:tr w:rsidR="00881260" w:rsidRPr="00881260" w14:paraId="24DCF423" w14:textId="77777777" w:rsidTr="00CB49FE">
        <w:trPr>
          <w:tblHeader/>
        </w:trPr>
        <w:tc>
          <w:tcPr>
            <w:tcW w:w="500" w:type="pct"/>
            <w:vAlign w:val="center"/>
          </w:tcPr>
          <w:p w14:paraId="4F6DE801" w14:textId="77777777" w:rsidR="00881260" w:rsidRPr="00881260" w:rsidRDefault="00881260" w:rsidP="00881260">
            <w:pPr>
              <w:adjustRightInd w:val="0"/>
              <w:snapToGrid w:val="0"/>
              <w:jc w:val="center"/>
              <w:rPr>
                <w:b/>
                <w:sz w:val="26"/>
                <w:szCs w:val="26"/>
              </w:rPr>
            </w:pPr>
            <w:r w:rsidRPr="00881260">
              <w:rPr>
                <w:b/>
                <w:sz w:val="26"/>
                <w:szCs w:val="26"/>
              </w:rPr>
              <w:t>Nhóm 4</w:t>
            </w:r>
          </w:p>
        </w:tc>
        <w:tc>
          <w:tcPr>
            <w:tcW w:w="1260" w:type="pct"/>
            <w:vAlign w:val="center"/>
          </w:tcPr>
          <w:p w14:paraId="466A5038" w14:textId="77777777" w:rsidR="00881260" w:rsidRPr="00881260" w:rsidRDefault="00881260" w:rsidP="00881260">
            <w:pPr>
              <w:rPr>
                <w:b/>
                <w:bCs/>
                <w:sz w:val="26"/>
                <w:szCs w:val="26"/>
              </w:rPr>
            </w:pPr>
            <w:r w:rsidRPr="00881260">
              <w:rPr>
                <w:b/>
                <w:bCs/>
                <w:sz w:val="26"/>
                <w:szCs w:val="26"/>
              </w:rPr>
              <w:t>Tổ chức, cá nhân sản xuất vật chất</w:t>
            </w:r>
          </w:p>
        </w:tc>
        <w:tc>
          <w:tcPr>
            <w:tcW w:w="960" w:type="pct"/>
            <w:vAlign w:val="center"/>
          </w:tcPr>
          <w:p w14:paraId="779456B9" w14:textId="77777777" w:rsidR="00881260" w:rsidRPr="00881260" w:rsidRDefault="00881260" w:rsidP="00881260">
            <w:pPr>
              <w:jc w:val="center"/>
              <w:rPr>
                <w:szCs w:val="20"/>
              </w:rPr>
            </w:pPr>
            <w:r w:rsidRPr="00881260">
              <w:rPr>
                <w:sz w:val="23"/>
                <w:szCs w:val="23"/>
              </w:rPr>
              <w:t>Theo thực tế sử dụng</w:t>
            </w:r>
          </w:p>
        </w:tc>
        <w:tc>
          <w:tcPr>
            <w:tcW w:w="740" w:type="pct"/>
            <w:vAlign w:val="center"/>
          </w:tcPr>
          <w:p w14:paraId="10CFE402" w14:textId="77777777" w:rsidR="00881260" w:rsidRPr="00881260" w:rsidRDefault="00881260" w:rsidP="00881260">
            <w:pPr>
              <w:adjustRightInd w:val="0"/>
              <w:snapToGrid w:val="0"/>
              <w:jc w:val="center"/>
              <w:rPr>
                <w:sz w:val="26"/>
                <w:szCs w:val="26"/>
              </w:rPr>
            </w:pPr>
            <w:r w:rsidRPr="00881260">
              <w:rPr>
                <w:sz w:val="26"/>
                <w:szCs w:val="26"/>
              </w:rPr>
              <w:t>15.200</w:t>
            </w:r>
          </w:p>
        </w:tc>
        <w:tc>
          <w:tcPr>
            <w:tcW w:w="845" w:type="pct"/>
            <w:vAlign w:val="center"/>
          </w:tcPr>
          <w:p w14:paraId="126ACA51" w14:textId="77777777" w:rsidR="00881260" w:rsidRPr="00881260" w:rsidRDefault="00881260" w:rsidP="00881260">
            <w:pPr>
              <w:adjustRightInd w:val="0"/>
              <w:snapToGrid w:val="0"/>
              <w:jc w:val="center"/>
              <w:rPr>
                <w:sz w:val="26"/>
                <w:szCs w:val="26"/>
              </w:rPr>
            </w:pPr>
            <w:r w:rsidRPr="00881260">
              <w:rPr>
                <w:sz w:val="26"/>
                <w:szCs w:val="26"/>
              </w:rPr>
              <w:t>13.000</w:t>
            </w:r>
          </w:p>
        </w:tc>
        <w:tc>
          <w:tcPr>
            <w:tcW w:w="694" w:type="pct"/>
            <w:vAlign w:val="center"/>
          </w:tcPr>
          <w:p w14:paraId="25E031A3" w14:textId="77777777" w:rsidR="00881260" w:rsidRPr="00881260" w:rsidRDefault="00881260" w:rsidP="00881260">
            <w:pPr>
              <w:adjustRightInd w:val="0"/>
              <w:snapToGrid w:val="0"/>
              <w:jc w:val="center"/>
              <w:rPr>
                <w:b/>
                <w:sz w:val="26"/>
                <w:szCs w:val="26"/>
              </w:rPr>
            </w:pPr>
            <w:r w:rsidRPr="00881260">
              <w:rPr>
                <w:b/>
                <w:sz w:val="26"/>
                <w:szCs w:val="26"/>
              </w:rPr>
              <w:t>+16,92%</w:t>
            </w:r>
          </w:p>
        </w:tc>
      </w:tr>
      <w:tr w:rsidR="00881260" w:rsidRPr="00881260" w14:paraId="6476AD12" w14:textId="77777777" w:rsidTr="00CB49FE">
        <w:trPr>
          <w:tblHeader/>
        </w:trPr>
        <w:tc>
          <w:tcPr>
            <w:tcW w:w="500" w:type="pct"/>
            <w:vAlign w:val="center"/>
          </w:tcPr>
          <w:p w14:paraId="4B8EA5DA" w14:textId="77777777" w:rsidR="00881260" w:rsidRPr="00881260" w:rsidRDefault="00881260" w:rsidP="00881260">
            <w:pPr>
              <w:adjustRightInd w:val="0"/>
              <w:snapToGrid w:val="0"/>
              <w:jc w:val="center"/>
              <w:rPr>
                <w:b/>
                <w:sz w:val="26"/>
                <w:szCs w:val="26"/>
              </w:rPr>
            </w:pPr>
            <w:r w:rsidRPr="00881260">
              <w:rPr>
                <w:b/>
                <w:sz w:val="26"/>
                <w:szCs w:val="26"/>
              </w:rPr>
              <w:t>Nhóm 5</w:t>
            </w:r>
          </w:p>
        </w:tc>
        <w:tc>
          <w:tcPr>
            <w:tcW w:w="1260" w:type="pct"/>
            <w:vAlign w:val="center"/>
          </w:tcPr>
          <w:p w14:paraId="3A7D6C72" w14:textId="77777777" w:rsidR="00881260" w:rsidRPr="00881260" w:rsidRDefault="00881260" w:rsidP="00881260">
            <w:pPr>
              <w:rPr>
                <w:b/>
                <w:bCs/>
                <w:sz w:val="26"/>
                <w:szCs w:val="26"/>
              </w:rPr>
            </w:pPr>
            <w:r w:rsidRPr="00881260">
              <w:rPr>
                <w:b/>
                <w:bCs/>
                <w:sz w:val="26"/>
                <w:szCs w:val="26"/>
              </w:rPr>
              <w:t>Tổ chức, cá nhân tiêu thụ nước sạch cho mục đích kinh doanh dịch vụ</w:t>
            </w:r>
          </w:p>
        </w:tc>
        <w:tc>
          <w:tcPr>
            <w:tcW w:w="960" w:type="pct"/>
            <w:vAlign w:val="center"/>
          </w:tcPr>
          <w:p w14:paraId="78B6197E" w14:textId="77777777" w:rsidR="00881260" w:rsidRPr="00881260" w:rsidRDefault="00881260" w:rsidP="00881260">
            <w:pPr>
              <w:jc w:val="center"/>
              <w:rPr>
                <w:szCs w:val="20"/>
              </w:rPr>
            </w:pPr>
            <w:r w:rsidRPr="00881260">
              <w:rPr>
                <w:sz w:val="23"/>
                <w:szCs w:val="23"/>
              </w:rPr>
              <w:t>Theo thực tế sử dụng</w:t>
            </w:r>
          </w:p>
        </w:tc>
        <w:tc>
          <w:tcPr>
            <w:tcW w:w="740" w:type="pct"/>
            <w:vAlign w:val="center"/>
          </w:tcPr>
          <w:p w14:paraId="7CFCECEF" w14:textId="77777777" w:rsidR="00881260" w:rsidRPr="00881260" w:rsidRDefault="00881260" w:rsidP="00881260">
            <w:pPr>
              <w:adjustRightInd w:val="0"/>
              <w:snapToGrid w:val="0"/>
              <w:jc w:val="center"/>
              <w:rPr>
                <w:sz w:val="26"/>
                <w:szCs w:val="26"/>
              </w:rPr>
            </w:pPr>
            <w:r w:rsidRPr="00881260">
              <w:rPr>
                <w:sz w:val="26"/>
                <w:szCs w:val="26"/>
              </w:rPr>
              <w:t>20.900</w:t>
            </w:r>
          </w:p>
        </w:tc>
        <w:tc>
          <w:tcPr>
            <w:tcW w:w="845" w:type="pct"/>
            <w:vAlign w:val="center"/>
          </w:tcPr>
          <w:p w14:paraId="0E1A77E6" w14:textId="77777777" w:rsidR="00881260" w:rsidRPr="00881260" w:rsidRDefault="00881260" w:rsidP="00881260">
            <w:pPr>
              <w:adjustRightInd w:val="0"/>
              <w:snapToGrid w:val="0"/>
              <w:jc w:val="center"/>
              <w:rPr>
                <w:sz w:val="26"/>
                <w:szCs w:val="26"/>
              </w:rPr>
            </w:pPr>
            <w:r w:rsidRPr="00881260">
              <w:rPr>
                <w:sz w:val="26"/>
                <w:szCs w:val="26"/>
              </w:rPr>
              <w:t>18.000</w:t>
            </w:r>
          </w:p>
        </w:tc>
        <w:tc>
          <w:tcPr>
            <w:tcW w:w="694" w:type="pct"/>
            <w:vAlign w:val="center"/>
          </w:tcPr>
          <w:p w14:paraId="28767BC3" w14:textId="77777777" w:rsidR="00881260" w:rsidRPr="00881260" w:rsidRDefault="00881260" w:rsidP="00881260">
            <w:pPr>
              <w:adjustRightInd w:val="0"/>
              <w:snapToGrid w:val="0"/>
              <w:jc w:val="center"/>
              <w:rPr>
                <w:b/>
                <w:sz w:val="26"/>
                <w:szCs w:val="26"/>
              </w:rPr>
            </w:pPr>
            <w:r w:rsidRPr="00881260">
              <w:rPr>
                <w:b/>
                <w:sz w:val="26"/>
                <w:szCs w:val="26"/>
              </w:rPr>
              <w:t>+16,11%</w:t>
            </w:r>
          </w:p>
        </w:tc>
      </w:tr>
    </w:tbl>
    <w:p w14:paraId="37DA8573" w14:textId="77777777" w:rsidR="00881260" w:rsidRPr="00881260" w:rsidRDefault="00881260" w:rsidP="00881260">
      <w:pPr>
        <w:spacing w:before="120" w:after="100"/>
        <w:ind w:right="-108" w:firstLine="680"/>
        <w:jc w:val="both"/>
        <w:rPr>
          <w:sz w:val="28"/>
        </w:rPr>
      </w:pPr>
      <w:r w:rsidRPr="00881260">
        <w:rPr>
          <w:sz w:val="28"/>
        </w:rPr>
        <w:t>- Giá bán lẻ nước sạch theo phương án giá đã thực hiện tăng đều cho tất cả các nhóm đối tượng, đảm bảo sự công bằng giữa các nhóm đối tượng sử dụng.</w:t>
      </w:r>
    </w:p>
    <w:p w14:paraId="6A2ABD66" w14:textId="77777777" w:rsidR="007C5BA4" w:rsidRDefault="007C5BA4" w:rsidP="00881260">
      <w:pPr>
        <w:spacing w:before="120"/>
        <w:ind w:firstLine="567"/>
        <w:jc w:val="both"/>
        <w:rPr>
          <w:b/>
          <w:sz w:val="28"/>
        </w:rPr>
      </w:pPr>
    </w:p>
    <w:p w14:paraId="0FF57865" w14:textId="77777777" w:rsidR="007C5BA4" w:rsidRDefault="007C5BA4" w:rsidP="00881260">
      <w:pPr>
        <w:spacing w:before="120"/>
        <w:ind w:firstLine="567"/>
        <w:jc w:val="both"/>
        <w:rPr>
          <w:b/>
          <w:sz w:val="28"/>
        </w:rPr>
      </w:pPr>
    </w:p>
    <w:p w14:paraId="553E548F" w14:textId="6A1DAFFD" w:rsidR="00881260" w:rsidRPr="00881260" w:rsidRDefault="00881260" w:rsidP="007C5BA4">
      <w:pPr>
        <w:spacing w:before="120" w:line="264" w:lineRule="auto"/>
        <w:ind w:firstLine="567"/>
        <w:jc w:val="both"/>
        <w:rPr>
          <w:b/>
          <w:sz w:val="28"/>
        </w:rPr>
      </w:pPr>
      <w:r w:rsidRPr="00881260">
        <w:rPr>
          <w:b/>
          <w:sz w:val="28"/>
        </w:rPr>
        <w:lastRenderedPageBreak/>
        <w:t xml:space="preserve">VI. ĐỀ XUẤT, KIẾN NGHỊ: </w:t>
      </w:r>
    </w:p>
    <w:p w14:paraId="533ECC3D" w14:textId="77777777" w:rsidR="00881260" w:rsidRPr="00881260" w:rsidRDefault="00881260" w:rsidP="007C5BA4">
      <w:pPr>
        <w:spacing w:before="120" w:line="264" w:lineRule="auto"/>
        <w:ind w:firstLine="567"/>
        <w:jc w:val="both"/>
        <w:rPr>
          <w:color w:val="000000"/>
          <w:sz w:val="28"/>
        </w:rPr>
      </w:pPr>
      <w:r w:rsidRPr="00881260">
        <w:rPr>
          <w:color w:val="000000"/>
          <w:sz w:val="28"/>
        </w:rPr>
        <w:t xml:space="preserve">Hồ sơ đề nghị </w:t>
      </w:r>
      <w:r w:rsidRPr="00881260">
        <w:rPr>
          <w:sz w:val="28"/>
        </w:rPr>
        <w:t>ban hành Quyết định quy định giá tiêu thụ nước sạch sinh hoạt của Công ty cổ phần cấp thoát nước và xây dựng Bảo Lộc đã được tổ chức lập đảm bảo trình tự, thủ tục theo quy định, đã được Sở Xây dựng tổ chức thẩm định. Hồ sơ đủ điều kiện để xem xét, phê duyệt.</w:t>
      </w:r>
    </w:p>
    <w:p w14:paraId="2B2E1548" w14:textId="77777777" w:rsidR="00881260" w:rsidRPr="00881260" w:rsidRDefault="00881260" w:rsidP="007C5BA4">
      <w:pPr>
        <w:spacing w:before="120" w:line="264" w:lineRule="auto"/>
        <w:ind w:firstLine="567"/>
        <w:jc w:val="both"/>
        <w:rPr>
          <w:sz w:val="28"/>
        </w:rPr>
      </w:pPr>
      <w:r w:rsidRPr="00881260">
        <w:rPr>
          <w:color w:val="000000"/>
          <w:sz w:val="28"/>
        </w:rPr>
        <w:t xml:space="preserve">Căn cứ điểm 7.1 khoản 7 Điều 2 Quy chế làm việc số 05-QC/TU ngày 19/12/2025 của Tỉnh ủy Lâm Đồng, </w:t>
      </w:r>
      <w:r w:rsidRPr="00881260">
        <w:rPr>
          <w:sz w:val="28"/>
        </w:rPr>
        <w:t>Ban Thường vụ Đảng ủy Ủy ban nhân dân tỉnh kính trình Ban Thường vụ Tỉnh ủy xem xét, cho ý kiến về việc ban hành Quyết định quy định giá tiêu thụ nước sạch sinh hoạt của Công ty cổ phần cấp thoát nước và xây dựng Bảo Lộc, làm cơ sở để triển khai các bước tiếp theo theo quy định.</w:t>
      </w:r>
    </w:p>
    <w:p w14:paraId="21F32BD2" w14:textId="7CE477DA" w:rsidR="00881260" w:rsidRPr="00881260" w:rsidRDefault="00881260" w:rsidP="007C5BA4">
      <w:pPr>
        <w:spacing w:before="120" w:line="264" w:lineRule="auto"/>
        <w:ind w:firstLine="567"/>
        <w:jc w:val="both"/>
        <w:rPr>
          <w:i/>
          <w:iCs/>
          <w:sz w:val="28"/>
        </w:rPr>
      </w:pPr>
      <w:r w:rsidRPr="00881260">
        <w:rPr>
          <w:i/>
          <w:iCs/>
          <w:sz w:val="28"/>
        </w:rPr>
        <w:t xml:space="preserve">(Gửi theo </w:t>
      </w:r>
      <w:r w:rsidR="00DC5C85">
        <w:rPr>
          <w:i/>
          <w:iCs/>
          <w:sz w:val="28"/>
        </w:rPr>
        <w:t xml:space="preserve">theo Tờ trình này: </w:t>
      </w:r>
      <w:r w:rsidR="0005798A" w:rsidRPr="0005798A">
        <w:rPr>
          <w:i/>
          <w:iCs/>
          <w:sz w:val="28"/>
        </w:rPr>
        <w:t>Văn bản số 6329/UBND-XDCT, ngày 07/5/2026 và Văn bản số 7867, ngày 28/5/2025 của UBND tỉnh</w:t>
      </w:r>
      <w:bookmarkStart w:id="1" w:name="_GoBack"/>
      <w:bookmarkEnd w:id="1"/>
      <w:r w:rsidRPr="00881260">
        <w:rPr>
          <w:i/>
          <w:iCs/>
          <w:sz w:val="28"/>
        </w:rPr>
        <w:t>)./.</w:t>
      </w:r>
    </w:p>
    <w:bookmarkEnd w:id="0"/>
    <w:p w14:paraId="32403D9B" w14:textId="7EE4066B" w:rsidR="0056237F" w:rsidRPr="00D151EC" w:rsidRDefault="0056237F" w:rsidP="003D1A76">
      <w:pPr>
        <w:widowControl w:val="0"/>
        <w:pBdr>
          <w:top w:val="dotted" w:sz="4" w:space="0" w:color="FFFFFF"/>
          <w:left w:val="dotted" w:sz="4" w:space="0" w:color="FFFFFF"/>
          <w:bottom w:val="dotted" w:sz="4" w:space="14" w:color="FFFFFF"/>
          <w:right w:val="dotted" w:sz="4" w:space="0" w:color="FFFFFF"/>
        </w:pBdr>
        <w:shd w:val="clear" w:color="auto" w:fill="FFFFFF"/>
        <w:spacing w:before="120" w:line="264" w:lineRule="auto"/>
        <w:ind w:firstLine="709"/>
        <w:jc w:val="both"/>
        <w:rPr>
          <w:color w:val="000000"/>
          <w:spacing w:val="-2"/>
          <w:sz w:val="8"/>
        </w:rPr>
      </w:pPr>
    </w:p>
    <w:tbl>
      <w:tblPr>
        <w:tblW w:w="9472" w:type="dxa"/>
        <w:tblLook w:val="04A0" w:firstRow="1" w:lastRow="0" w:firstColumn="1" w:lastColumn="0" w:noHBand="0" w:noVBand="1"/>
      </w:tblPr>
      <w:tblGrid>
        <w:gridCol w:w="4736"/>
        <w:gridCol w:w="4736"/>
      </w:tblGrid>
      <w:tr w:rsidR="00E41EEB" w:rsidRPr="004F6402" w14:paraId="45834325" w14:textId="77777777" w:rsidTr="00571737">
        <w:trPr>
          <w:trHeight w:val="2433"/>
        </w:trPr>
        <w:tc>
          <w:tcPr>
            <w:tcW w:w="4736" w:type="dxa"/>
          </w:tcPr>
          <w:p w14:paraId="307BEEF0" w14:textId="77777777" w:rsidR="00E41EEB" w:rsidRPr="004F6402" w:rsidRDefault="00E41EEB" w:rsidP="00A32D38">
            <w:pPr>
              <w:jc w:val="both"/>
              <w:rPr>
                <w:bCs/>
                <w:iCs/>
                <w:szCs w:val="24"/>
                <w:u w:val="single"/>
              </w:rPr>
            </w:pPr>
            <w:r w:rsidRPr="004F6402">
              <w:rPr>
                <w:bCs/>
                <w:iCs/>
                <w:sz w:val="28"/>
                <w:u w:val="single"/>
              </w:rPr>
              <w:t>Nơi nhận:</w:t>
            </w:r>
          </w:p>
          <w:p w14:paraId="0A637BC4" w14:textId="43539626" w:rsidR="0070478E" w:rsidRPr="004F6402" w:rsidRDefault="00ED3C95" w:rsidP="000E5708">
            <w:pPr>
              <w:jc w:val="both"/>
              <w:rPr>
                <w:szCs w:val="22"/>
              </w:rPr>
            </w:pPr>
            <w:r w:rsidRPr="004F6402">
              <w:rPr>
                <w:szCs w:val="22"/>
              </w:rPr>
              <w:t>- Như trên,</w:t>
            </w:r>
          </w:p>
          <w:p w14:paraId="085AD7F8" w14:textId="6BA5FB83" w:rsidR="00970C5D" w:rsidRPr="004F6402" w:rsidRDefault="00970C5D" w:rsidP="000E5708">
            <w:pPr>
              <w:jc w:val="both"/>
              <w:rPr>
                <w:szCs w:val="22"/>
              </w:rPr>
            </w:pPr>
            <w:r w:rsidRPr="004F6402">
              <w:rPr>
                <w:szCs w:val="22"/>
              </w:rPr>
              <w:t>- Ủy ban nhân dân tỉnh,</w:t>
            </w:r>
          </w:p>
          <w:p w14:paraId="42470B46" w14:textId="5334872E" w:rsidR="006E4963" w:rsidRPr="004F6402" w:rsidRDefault="006E4963" w:rsidP="000E5708">
            <w:pPr>
              <w:jc w:val="both"/>
              <w:rPr>
                <w:szCs w:val="22"/>
              </w:rPr>
            </w:pPr>
            <w:r w:rsidRPr="004F6402">
              <w:rPr>
                <w:szCs w:val="22"/>
              </w:rPr>
              <w:t>- Văn phòng Tỉnh ủy,</w:t>
            </w:r>
          </w:p>
          <w:p w14:paraId="6B3BE05C" w14:textId="4EC884DD" w:rsidR="00B45A70" w:rsidRPr="004F6402" w:rsidRDefault="00B45A70" w:rsidP="000E5708">
            <w:pPr>
              <w:jc w:val="both"/>
              <w:rPr>
                <w:szCs w:val="22"/>
              </w:rPr>
            </w:pPr>
            <w:r w:rsidRPr="004F6402">
              <w:rPr>
                <w:szCs w:val="22"/>
              </w:rPr>
              <w:t>- Thường trực Đảng ủy,</w:t>
            </w:r>
          </w:p>
          <w:p w14:paraId="36170671" w14:textId="239B2228" w:rsidR="00D851C9" w:rsidRPr="004F6402" w:rsidRDefault="00ED3C95" w:rsidP="00ED3C95">
            <w:pPr>
              <w:jc w:val="both"/>
              <w:rPr>
                <w:szCs w:val="22"/>
              </w:rPr>
            </w:pPr>
            <w:r w:rsidRPr="004F6402">
              <w:rPr>
                <w:szCs w:val="22"/>
              </w:rPr>
              <w:t>- Lưu</w:t>
            </w:r>
            <w:r w:rsidR="00E41EEB" w:rsidRPr="004F6402">
              <w:rPr>
                <w:szCs w:val="22"/>
              </w:rPr>
              <w:t xml:space="preserve"> V</w:t>
            </w:r>
            <w:r w:rsidR="00F0339B" w:rsidRPr="004F6402">
              <w:rPr>
                <w:szCs w:val="22"/>
              </w:rPr>
              <w:t>ăn phòng Đảng ủy</w:t>
            </w:r>
            <w:r w:rsidRPr="004F6402">
              <w:rPr>
                <w:szCs w:val="22"/>
              </w:rPr>
              <w:t>.</w:t>
            </w:r>
          </w:p>
        </w:tc>
        <w:tc>
          <w:tcPr>
            <w:tcW w:w="4736" w:type="dxa"/>
          </w:tcPr>
          <w:p w14:paraId="2C5EF64B" w14:textId="77263008" w:rsidR="00E41EEB" w:rsidRPr="004F6402" w:rsidRDefault="00BD413E" w:rsidP="00A32D38">
            <w:pPr>
              <w:jc w:val="center"/>
              <w:rPr>
                <w:b/>
                <w:sz w:val="28"/>
                <w:lang w:val="fr-FR"/>
              </w:rPr>
            </w:pPr>
            <w:r w:rsidRPr="004F6402">
              <w:rPr>
                <w:b/>
                <w:sz w:val="28"/>
                <w:lang w:val="fr-FR"/>
              </w:rPr>
              <w:t>T/M</w:t>
            </w:r>
            <w:r w:rsidR="00E41EEB" w:rsidRPr="004F6402">
              <w:rPr>
                <w:b/>
                <w:sz w:val="28"/>
                <w:lang w:val="fr-FR"/>
              </w:rPr>
              <w:t xml:space="preserve"> </w:t>
            </w:r>
            <w:r w:rsidR="0068298E" w:rsidRPr="004F6402">
              <w:rPr>
                <w:b/>
                <w:sz w:val="28"/>
                <w:lang w:val="fr-FR"/>
              </w:rPr>
              <w:t>BAN THƯỜNG VỤ</w:t>
            </w:r>
          </w:p>
          <w:p w14:paraId="521B5B89" w14:textId="43153A9E" w:rsidR="00E41EEB" w:rsidRPr="004F6402" w:rsidRDefault="003839E5" w:rsidP="00A32D38">
            <w:pPr>
              <w:jc w:val="center"/>
              <w:rPr>
                <w:bCs/>
                <w:sz w:val="28"/>
              </w:rPr>
            </w:pPr>
            <w:r w:rsidRPr="004F6402">
              <w:rPr>
                <w:bCs/>
                <w:sz w:val="28"/>
              </w:rPr>
              <w:t xml:space="preserve">PHÓ </w:t>
            </w:r>
            <w:r w:rsidR="00BD413E" w:rsidRPr="004F6402">
              <w:rPr>
                <w:bCs/>
                <w:sz w:val="28"/>
              </w:rPr>
              <w:t>BÍ THƯ</w:t>
            </w:r>
            <w:r w:rsidRPr="004F6402">
              <w:rPr>
                <w:bCs/>
                <w:sz w:val="28"/>
              </w:rPr>
              <w:t xml:space="preserve"> THƯỜNG TRỰC</w:t>
            </w:r>
          </w:p>
          <w:p w14:paraId="7E936AC3" w14:textId="77777777" w:rsidR="00E41EEB" w:rsidRPr="004F6402" w:rsidRDefault="00E41EEB" w:rsidP="000E5708">
            <w:pPr>
              <w:spacing w:before="120" w:line="252" w:lineRule="auto"/>
              <w:jc w:val="both"/>
              <w:rPr>
                <w:b/>
                <w:sz w:val="28"/>
              </w:rPr>
            </w:pPr>
          </w:p>
          <w:p w14:paraId="4EF49A6E" w14:textId="77777777" w:rsidR="00ED3C95" w:rsidRPr="004F6402" w:rsidRDefault="00ED3C95" w:rsidP="000E5708">
            <w:pPr>
              <w:spacing w:before="120" w:line="252" w:lineRule="auto"/>
              <w:jc w:val="both"/>
              <w:rPr>
                <w:b/>
                <w:sz w:val="28"/>
              </w:rPr>
            </w:pPr>
          </w:p>
          <w:p w14:paraId="18D53D8A" w14:textId="73D0A2C0" w:rsidR="00ED3C95" w:rsidRPr="004F6402" w:rsidRDefault="00ED3C95" w:rsidP="000E5708">
            <w:pPr>
              <w:spacing w:before="120" w:line="252" w:lineRule="auto"/>
              <w:jc w:val="both"/>
              <w:rPr>
                <w:b/>
                <w:sz w:val="28"/>
              </w:rPr>
            </w:pPr>
          </w:p>
          <w:p w14:paraId="26009DDB" w14:textId="77777777" w:rsidR="00150263" w:rsidRPr="004F6402" w:rsidRDefault="00150263" w:rsidP="000E5708">
            <w:pPr>
              <w:spacing w:before="120" w:line="252" w:lineRule="auto"/>
              <w:jc w:val="both"/>
              <w:rPr>
                <w:b/>
                <w:sz w:val="8"/>
              </w:rPr>
            </w:pPr>
          </w:p>
          <w:p w14:paraId="1E5BDEE9" w14:textId="7A5CFFBF" w:rsidR="00E41EEB" w:rsidRPr="004F6402" w:rsidRDefault="003839E5" w:rsidP="00571737">
            <w:pPr>
              <w:spacing w:before="120" w:line="252" w:lineRule="auto"/>
              <w:jc w:val="center"/>
              <w:rPr>
                <w:b/>
                <w:sz w:val="28"/>
              </w:rPr>
            </w:pPr>
            <w:r w:rsidRPr="004F6402">
              <w:rPr>
                <w:b/>
                <w:sz w:val="28"/>
              </w:rPr>
              <w:t>Lê Trọng Yên</w:t>
            </w:r>
          </w:p>
        </w:tc>
      </w:tr>
    </w:tbl>
    <w:p w14:paraId="602A7710" w14:textId="77777777" w:rsidR="00586AB6" w:rsidRPr="00586AB6" w:rsidRDefault="00586AB6" w:rsidP="007938C9">
      <w:pPr>
        <w:spacing w:line="264" w:lineRule="auto"/>
        <w:rPr>
          <w:szCs w:val="24"/>
        </w:rPr>
      </w:pPr>
    </w:p>
    <w:sectPr w:rsidR="00586AB6" w:rsidRPr="00586AB6" w:rsidSect="007938C9">
      <w:headerReference w:type="default" r:id="rId9"/>
      <w:pgSz w:w="12240" w:h="15840"/>
      <w:pgMar w:top="1134" w:right="851" w:bottom="1134"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87A2" w14:textId="77777777" w:rsidR="00082CD5" w:rsidRDefault="00082CD5" w:rsidP="00B36CE7">
      <w:r>
        <w:separator/>
      </w:r>
    </w:p>
  </w:endnote>
  <w:endnote w:type="continuationSeparator" w:id="0">
    <w:p w14:paraId="3C4646F0" w14:textId="77777777" w:rsidR="00082CD5" w:rsidRDefault="00082CD5" w:rsidP="00B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1A093" w14:textId="77777777" w:rsidR="00082CD5" w:rsidRDefault="00082CD5" w:rsidP="00B36CE7">
      <w:r>
        <w:separator/>
      </w:r>
    </w:p>
  </w:footnote>
  <w:footnote w:type="continuationSeparator" w:id="0">
    <w:p w14:paraId="53389418" w14:textId="77777777" w:rsidR="00082CD5" w:rsidRDefault="00082CD5" w:rsidP="00B36CE7">
      <w:r>
        <w:continuationSeparator/>
      </w:r>
    </w:p>
  </w:footnote>
  <w:footnote w:id="1">
    <w:p w14:paraId="08E4E7C4" w14:textId="5497F78E" w:rsidR="00881260" w:rsidRPr="00DE3A51" w:rsidRDefault="00881260" w:rsidP="00AF1F98">
      <w:pPr>
        <w:pStyle w:val="FootnoteText"/>
        <w:spacing w:before="80"/>
        <w:jc w:val="both"/>
      </w:pPr>
      <w:r w:rsidRPr="00DE3A51">
        <w:rPr>
          <w:rStyle w:val="FootnoteReference"/>
          <w:b/>
        </w:rPr>
        <w:footnoteRef/>
      </w:r>
      <w:r w:rsidRPr="00DE3A51">
        <w:rPr>
          <w:b/>
        </w:rPr>
        <w:t xml:space="preserve"> </w:t>
      </w:r>
      <w:r w:rsidRPr="00DE3A51">
        <w:t xml:space="preserve">Căn cứ </w:t>
      </w:r>
      <w:r w:rsidRPr="00DE3A51">
        <w:rPr>
          <w:color w:val="000000"/>
        </w:rPr>
        <w:t xml:space="preserve">điểm 7.1 khoản 7 Điều 2, Ban Thường vụ Tỉnh ủy cho ý kiến đối với </w:t>
      </w:r>
      <w:r>
        <w:rPr>
          <w:i/>
          <w:color w:val="000000"/>
        </w:rPr>
        <w:t>“</w:t>
      </w:r>
      <w:r w:rsidRPr="00DE3A51">
        <w:rPr>
          <w:i/>
          <w:color w:val="000000"/>
        </w:rPr>
        <w:t>việc thực hiện các cơ chế, chính sách kinh tế - xã hội có ảnh hưởng lớn đến đời</w:t>
      </w:r>
      <w:r>
        <w:rPr>
          <w:i/>
          <w:color w:val="000000"/>
        </w:rPr>
        <w:t xml:space="preserve"> sống của Nhân dân ở địa phương”</w:t>
      </w:r>
      <w:r w:rsidRPr="00DE3A51">
        <w:rPr>
          <w:i/>
          <w:color w:val="000000"/>
        </w:rPr>
        <w:t>.</w:t>
      </w:r>
    </w:p>
  </w:footnote>
  <w:footnote w:id="2">
    <w:p w14:paraId="65F23FA5" w14:textId="12034D9C" w:rsidR="00AF1F98" w:rsidRDefault="00AF1F98" w:rsidP="00AF1F98">
      <w:pPr>
        <w:pStyle w:val="FootnoteText"/>
        <w:spacing w:before="80"/>
        <w:jc w:val="both"/>
      </w:pPr>
      <w:r w:rsidRPr="00AF1F98">
        <w:rPr>
          <w:rStyle w:val="FootnoteReference"/>
          <w:b/>
        </w:rPr>
        <w:footnoteRef/>
      </w:r>
      <w:r w:rsidRPr="00AF1F98">
        <w:rPr>
          <w:b/>
        </w:rPr>
        <w:t xml:space="preserve"> </w:t>
      </w:r>
      <w:r w:rsidRPr="00AF1F98">
        <w:t>Tại Văn bản số 6329/UBND-XDCT, ngày 07/5/2026</w:t>
      </w:r>
      <w:r>
        <w:t xml:space="preserve"> và Văn bản số </w:t>
      </w:r>
      <w:r w:rsidR="00A82E19">
        <w:t>7867, ngày 28/5/2025 của UBND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939A" w14:textId="18B588CD" w:rsidR="00FD219D" w:rsidRPr="00086967" w:rsidRDefault="00CD35E0" w:rsidP="00086967">
    <w:pPr>
      <w:pStyle w:val="Header"/>
      <w:jc w:val="center"/>
      <w:rPr>
        <w:sz w:val="26"/>
        <w:szCs w:val="26"/>
      </w:rPr>
    </w:pPr>
    <w:r w:rsidRPr="00086967">
      <w:rPr>
        <w:sz w:val="26"/>
        <w:szCs w:val="26"/>
      </w:rPr>
      <w:fldChar w:fldCharType="begin"/>
    </w:r>
    <w:r w:rsidRPr="00086967">
      <w:rPr>
        <w:sz w:val="26"/>
        <w:szCs w:val="26"/>
      </w:rPr>
      <w:instrText xml:space="preserve"> PAGE   \* MERGEFORMAT </w:instrText>
    </w:r>
    <w:r w:rsidRPr="00086967">
      <w:rPr>
        <w:sz w:val="26"/>
        <w:szCs w:val="26"/>
      </w:rPr>
      <w:fldChar w:fldCharType="separate"/>
    </w:r>
    <w:r w:rsidR="0005798A">
      <w:rPr>
        <w:noProof/>
        <w:sz w:val="26"/>
        <w:szCs w:val="26"/>
      </w:rPr>
      <w:t>5</w:t>
    </w:r>
    <w:r w:rsidRPr="00086967">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1BE"/>
    <w:multiLevelType w:val="hybridMultilevel"/>
    <w:tmpl w:val="30EC3D08"/>
    <w:lvl w:ilvl="0" w:tplc="EBA2558A">
      <w:start w:val="1"/>
      <w:numFmt w:val="decimal"/>
      <w:lvlText w:val="%1."/>
      <w:lvlJc w:val="left"/>
      <w:pPr>
        <w:ind w:left="6031" w:hanging="360"/>
      </w:pPr>
      <w:rPr>
        <w:b/>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 w15:restartNumberingAfterBreak="0">
    <w:nsid w:val="20F16F06"/>
    <w:multiLevelType w:val="hybridMultilevel"/>
    <w:tmpl w:val="7220C6E0"/>
    <w:lvl w:ilvl="0" w:tplc="1A5C90AC">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B64C5"/>
    <w:multiLevelType w:val="hybridMultilevel"/>
    <w:tmpl w:val="99422004"/>
    <w:lvl w:ilvl="0" w:tplc="88BC3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ABA6FC6"/>
    <w:multiLevelType w:val="hybridMultilevel"/>
    <w:tmpl w:val="F8428FBA"/>
    <w:lvl w:ilvl="0" w:tplc="0804E8BC">
      <w:start w:val="17"/>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6260B3F"/>
    <w:multiLevelType w:val="hybridMultilevel"/>
    <w:tmpl w:val="2488D6AA"/>
    <w:lvl w:ilvl="0" w:tplc="49EC40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8F5FA1"/>
    <w:multiLevelType w:val="hybridMultilevel"/>
    <w:tmpl w:val="B9D4832C"/>
    <w:lvl w:ilvl="0" w:tplc="CCD6C1A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38207CA"/>
    <w:multiLevelType w:val="hybridMultilevel"/>
    <w:tmpl w:val="E4A648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7292A04"/>
    <w:multiLevelType w:val="hybridMultilevel"/>
    <w:tmpl w:val="2A463810"/>
    <w:lvl w:ilvl="0" w:tplc="0670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DB7F04"/>
    <w:multiLevelType w:val="hybridMultilevel"/>
    <w:tmpl w:val="263C5892"/>
    <w:lvl w:ilvl="0" w:tplc="5B5C6B0E">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12BC8"/>
    <w:multiLevelType w:val="hybridMultilevel"/>
    <w:tmpl w:val="EE864EAE"/>
    <w:lvl w:ilvl="0" w:tplc="BA667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58127D"/>
    <w:multiLevelType w:val="hybridMultilevel"/>
    <w:tmpl w:val="38B625A8"/>
    <w:lvl w:ilvl="0" w:tplc="1E0C25D4">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55E58"/>
    <w:multiLevelType w:val="hybridMultilevel"/>
    <w:tmpl w:val="6AE08AB0"/>
    <w:lvl w:ilvl="0" w:tplc="E28EE632">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D450C"/>
    <w:multiLevelType w:val="hybridMultilevel"/>
    <w:tmpl w:val="119AAA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D4B5F0A"/>
    <w:multiLevelType w:val="hybridMultilevel"/>
    <w:tmpl w:val="89306864"/>
    <w:lvl w:ilvl="0" w:tplc="C1DCACD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61D39"/>
    <w:multiLevelType w:val="hybridMultilevel"/>
    <w:tmpl w:val="EF0AF2E6"/>
    <w:lvl w:ilvl="0" w:tplc="042E9822">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B370D1"/>
    <w:multiLevelType w:val="hybridMultilevel"/>
    <w:tmpl w:val="3BCA4200"/>
    <w:lvl w:ilvl="0" w:tplc="BB2AA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423EF"/>
    <w:multiLevelType w:val="hybridMultilevel"/>
    <w:tmpl w:val="C512D902"/>
    <w:lvl w:ilvl="0" w:tplc="1DA22DC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686B1B44"/>
    <w:multiLevelType w:val="hybridMultilevel"/>
    <w:tmpl w:val="77B24B9A"/>
    <w:lvl w:ilvl="0" w:tplc="10560D0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9343D5B"/>
    <w:multiLevelType w:val="hybridMultilevel"/>
    <w:tmpl w:val="A3FEE670"/>
    <w:lvl w:ilvl="0" w:tplc="4B3E1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B04779"/>
    <w:multiLevelType w:val="hybridMultilevel"/>
    <w:tmpl w:val="570033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5D4098E"/>
    <w:multiLevelType w:val="hybridMultilevel"/>
    <w:tmpl w:val="D868C1B6"/>
    <w:lvl w:ilvl="0" w:tplc="21FAB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85323"/>
    <w:multiLevelType w:val="multilevel"/>
    <w:tmpl w:val="69426988"/>
    <w:lvl w:ilvl="0">
      <w:start w:val="1"/>
      <w:numFmt w:val="upperRoman"/>
      <w:lvlText w:val="%1."/>
      <w:lvlJc w:val="right"/>
      <w:pPr>
        <w:ind w:left="958" w:hanging="249"/>
      </w:pPr>
      <w:rPr>
        <w:rFonts w:hint="default"/>
        <w:b/>
        <w:bCs/>
        <w:i w:val="0"/>
        <w:iCs w:val="0"/>
        <w:spacing w:val="0"/>
        <w:w w:val="100"/>
        <w:sz w:val="28"/>
        <w:szCs w:val="28"/>
        <w:lang w:eastAsia="en-US" w:bidi="ar-SA"/>
      </w:rPr>
    </w:lvl>
    <w:lvl w:ilvl="1">
      <w:start w:val="1"/>
      <w:numFmt w:val="decimal"/>
      <w:suff w:val="space"/>
      <w:lvlText w:val="%2."/>
      <w:lvlJc w:val="left"/>
      <w:pPr>
        <w:ind w:left="5636" w:hanging="249"/>
      </w:pPr>
      <w:rPr>
        <w:rFonts w:ascii="Times New Roman" w:eastAsia="Times New Roman" w:hAnsi="Times New Roman" w:cs="Times New Roman" w:hint="default"/>
        <w:b/>
        <w:bCs/>
        <w:i w:val="0"/>
        <w:iCs w:val="0"/>
        <w:spacing w:val="-4"/>
        <w:w w:val="100"/>
        <w:sz w:val="28"/>
        <w:szCs w:val="28"/>
        <w:lang w:eastAsia="en-US" w:bidi="ar-SA"/>
      </w:rPr>
    </w:lvl>
    <w:lvl w:ilvl="2">
      <w:start w:val="1"/>
      <w:numFmt w:val="decimal"/>
      <w:suff w:val="space"/>
      <w:lvlText w:val="6.%3."/>
      <w:lvlJc w:val="left"/>
      <w:pPr>
        <w:ind w:left="1069" w:hanging="360"/>
      </w:pPr>
      <w:rPr>
        <w:rFonts w:hint="default"/>
      </w:rPr>
    </w:lvl>
    <w:lvl w:ilvl="3">
      <w:start w:val="1"/>
      <w:numFmt w:val="decimal"/>
      <w:lvlText w:val="%2.%3.%4."/>
      <w:lvlJc w:val="left"/>
      <w:pPr>
        <w:ind w:left="958" w:hanging="249"/>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958" w:hanging="249"/>
      </w:pPr>
      <w:rPr>
        <w:rFonts w:hint="default"/>
        <w:lang w:eastAsia="en-US" w:bidi="ar-SA"/>
      </w:rPr>
    </w:lvl>
    <w:lvl w:ilvl="5">
      <w:numFmt w:val="bullet"/>
      <w:lvlText w:val="•"/>
      <w:lvlJc w:val="left"/>
      <w:pPr>
        <w:ind w:left="958" w:hanging="249"/>
      </w:pPr>
      <w:rPr>
        <w:rFonts w:hint="default"/>
        <w:lang w:eastAsia="en-US" w:bidi="ar-SA"/>
      </w:rPr>
    </w:lvl>
    <w:lvl w:ilvl="6">
      <w:numFmt w:val="bullet"/>
      <w:lvlText w:val="•"/>
      <w:lvlJc w:val="left"/>
      <w:pPr>
        <w:ind w:left="958" w:hanging="249"/>
      </w:pPr>
      <w:rPr>
        <w:rFonts w:hint="default"/>
        <w:lang w:eastAsia="en-US" w:bidi="ar-SA"/>
      </w:rPr>
    </w:lvl>
    <w:lvl w:ilvl="7">
      <w:numFmt w:val="bullet"/>
      <w:lvlText w:val="•"/>
      <w:lvlJc w:val="left"/>
      <w:pPr>
        <w:ind w:left="958" w:hanging="249"/>
      </w:pPr>
      <w:rPr>
        <w:rFonts w:hint="default"/>
        <w:lang w:eastAsia="en-US" w:bidi="ar-SA"/>
      </w:rPr>
    </w:lvl>
    <w:lvl w:ilvl="8">
      <w:numFmt w:val="bullet"/>
      <w:lvlText w:val="•"/>
      <w:lvlJc w:val="left"/>
      <w:pPr>
        <w:ind w:left="958" w:hanging="249"/>
      </w:pPr>
      <w:rPr>
        <w:rFonts w:hint="default"/>
        <w:lang w:eastAsia="en-US" w:bidi="ar-SA"/>
      </w:rPr>
    </w:lvl>
  </w:abstractNum>
  <w:abstractNum w:abstractNumId="22" w15:restartNumberingAfterBreak="0">
    <w:nsid w:val="7F792A60"/>
    <w:multiLevelType w:val="hybridMultilevel"/>
    <w:tmpl w:val="EC5AEA02"/>
    <w:lvl w:ilvl="0" w:tplc="0C742EE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9"/>
  </w:num>
  <w:num w:numId="3">
    <w:abstractNumId w:val="22"/>
  </w:num>
  <w:num w:numId="4">
    <w:abstractNumId w:val="14"/>
  </w:num>
  <w:num w:numId="5">
    <w:abstractNumId w:val="7"/>
  </w:num>
  <w:num w:numId="6">
    <w:abstractNumId w:val="16"/>
  </w:num>
  <w:num w:numId="7">
    <w:abstractNumId w:val="0"/>
  </w:num>
  <w:num w:numId="8">
    <w:abstractNumId w:val="19"/>
  </w:num>
  <w:num w:numId="9">
    <w:abstractNumId w:val="2"/>
  </w:num>
  <w:num w:numId="10">
    <w:abstractNumId w:val="12"/>
  </w:num>
  <w:num w:numId="11">
    <w:abstractNumId w:val="17"/>
  </w:num>
  <w:num w:numId="12">
    <w:abstractNumId w:val="5"/>
  </w:num>
  <w:num w:numId="13">
    <w:abstractNumId w:val="13"/>
  </w:num>
  <w:num w:numId="14">
    <w:abstractNumId w:val="3"/>
  </w:num>
  <w:num w:numId="15">
    <w:abstractNumId w:val="6"/>
  </w:num>
  <w:num w:numId="16">
    <w:abstractNumId w:val="8"/>
  </w:num>
  <w:num w:numId="17">
    <w:abstractNumId w:val="11"/>
  </w:num>
  <w:num w:numId="18">
    <w:abstractNumId w:val="10"/>
  </w:num>
  <w:num w:numId="19">
    <w:abstractNumId w:val="1"/>
  </w:num>
  <w:num w:numId="20">
    <w:abstractNumId w:val="20"/>
  </w:num>
  <w:num w:numId="21">
    <w:abstractNumId w:val="4"/>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64"/>
    <w:rsid w:val="00002B7A"/>
    <w:rsid w:val="00004868"/>
    <w:rsid w:val="000064DD"/>
    <w:rsid w:val="00006A65"/>
    <w:rsid w:val="00006AA2"/>
    <w:rsid w:val="00010225"/>
    <w:rsid w:val="00011263"/>
    <w:rsid w:val="00012CC6"/>
    <w:rsid w:val="00015D05"/>
    <w:rsid w:val="00027F9D"/>
    <w:rsid w:val="00030C3E"/>
    <w:rsid w:val="000321C6"/>
    <w:rsid w:val="0003781F"/>
    <w:rsid w:val="00041CBD"/>
    <w:rsid w:val="000421AD"/>
    <w:rsid w:val="00043010"/>
    <w:rsid w:val="00043815"/>
    <w:rsid w:val="000444A1"/>
    <w:rsid w:val="00045DED"/>
    <w:rsid w:val="0004623E"/>
    <w:rsid w:val="00046420"/>
    <w:rsid w:val="00046E1B"/>
    <w:rsid w:val="00047912"/>
    <w:rsid w:val="00050857"/>
    <w:rsid w:val="00050D8F"/>
    <w:rsid w:val="000524A7"/>
    <w:rsid w:val="00053F68"/>
    <w:rsid w:val="00055E92"/>
    <w:rsid w:val="0005798A"/>
    <w:rsid w:val="0006144A"/>
    <w:rsid w:val="00061F2A"/>
    <w:rsid w:val="0006260D"/>
    <w:rsid w:val="000658AB"/>
    <w:rsid w:val="0007035B"/>
    <w:rsid w:val="00070610"/>
    <w:rsid w:val="00070BCE"/>
    <w:rsid w:val="00070F9F"/>
    <w:rsid w:val="00071777"/>
    <w:rsid w:val="00073599"/>
    <w:rsid w:val="0007640E"/>
    <w:rsid w:val="00077016"/>
    <w:rsid w:val="0008215D"/>
    <w:rsid w:val="00082CD5"/>
    <w:rsid w:val="0008554A"/>
    <w:rsid w:val="00085C1B"/>
    <w:rsid w:val="00085C81"/>
    <w:rsid w:val="00085CBB"/>
    <w:rsid w:val="00090191"/>
    <w:rsid w:val="00090242"/>
    <w:rsid w:val="00090E89"/>
    <w:rsid w:val="00090FA0"/>
    <w:rsid w:val="00093B6B"/>
    <w:rsid w:val="00096DB7"/>
    <w:rsid w:val="000A0EDC"/>
    <w:rsid w:val="000A13BC"/>
    <w:rsid w:val="000A34CA"/>
    <w:rsid w:val="000A6AF7"/>
    <w:rsid w:val="000A730E"/>
    <w:rsid w:val="000B7A22"/>
    <w:rsid w:val="000C53F8"/>
    <w:rsid w:val="000D04AD"/>
    <w:rsid w:val="000D1437"/>
    <w:rsid w:val="000D1D3D"/>
    <w:rsid w:val="000D32AE"/>
    <w:rsid w:val="000D3F53"/>
    <w:rsid w:val="000D65A3"/>
    <w:rsid w:val="000D6CCA"/>
    <w:rsid w:val="000D772D"/>
    <w:rsid w:val="000E299F"/>
    <w:rsid w:val="000E356B"/>
    <w:rsid w:val="000E5708"/>
    <w:rsid w:val="000F3450"/>
    <w:rsid w:val="000F3B72"/>
    <w:rsid w:val="000F4220"/>
    <w:rsid w:val="000F574B"/>
    <w:rsid w:val="000F6E40"/>
    <w:rsid w:val="00100EBA"/>
    <w:rsid w:val="00101527"/>
    <w:rsid w:val="00101F90"/>
    <w:rsid w:val="0010279F"/>
    <w:rsid w:val="00103937"/>
    <w:rsid w:val="001062D9"/>
    <w:rsid w:val="00106AC3"/>
    <w:rsid w:val="00107350"/>
    <w:rsid w:val="00111F3D"/>
    <w:rsid w:val="0011511B"/>
    <w:rsid w:val="00122F7E"/>
    <w:rsid w:val="00124688"/>
    <w:rsid w:val="00124A8A"/>
    <w:rsid w:val="00127A11"/>
    <w:rsid w:val="0013133B"/>
    <w:rsid w:val="00134068"/>
    <w:rsid w:val="00136A49"/>
    <w:rsid w:val="0014027F"/>
    <w:rsid w:val="0014059B"/>
    <w:rsid w:val="00142547"/>
    <w:rsid w:val="001425BF"/>
    <w:rsid w:val="00150263"/>
    <w:rsid w:val="00150AA3"/>
    <w:rsid w:val="00150BD8"/>
    <w:rsid w:val="001512DE"/>
    <w:rsid w:val="00151A5F"/>
    <w:rsid w:val="00151F55"/>
    <w:rsid w:val="001536CE"/>
    <w:rsid w:val="00154CA5"/>
    <w:rsid w:val="00154DDF"/>
    <w:rsid w:val="00155F48"/>
    <w:rsid w:val="00160999"/>
    <w:rsid w:val="00165865"/>
    <w:rsid w:val="00166FE3"/>
    <w:rsid w:val="00170D2A"/>
    <w:rsid w:val="00171508"/>
    <w:rsid w:val="00171965"/>
    <w:rsid w:val="00172ECD"/>
    <w:rsid w:val="00173A70"/>
    <w:rsid w:val="001769EF"/>
    <w:rsid w:val="001802C3"/>
    <w:rsid w:val="00180CAE"/>
    <w:rsid w:val="00180CE6"/>
    <w:rsid w:val="001810FD"/>
    <w:rsid w:val="001820F4"/>
    <w:rsid w:val="00185994"/>
    <w:rsid w:val="0019198B"/>
    <w:rsid w:val="001949C0"/>
    <w:rsid w:val="001A0FD5"/>
    <w:rsid w:val="001A281F"/>
    <w:rsid w:val="001A3118"/>
    <w:rsid w:val="001A6792"/>
    <w:rsid w:val="001A6AD7"/>
    <w:rsid w:val="001B08D8"/>
    <w:rsid w:val="001B2428"/>
    <w:rsid w:val="001B2690"/>
    <w:rsid w:val="001B71FE"/>
    <w:rsid w:val="001B7450"/>
    <w:rsid w:val="001C0B6D"/>
    <w:rsid w:val="001C0EC2"/>
    <w:rsid w:val="001C2BFD"/>
    <w:rsid w:val="001C2F3F"/>
    <w:rsid w:val="001C529A"/>
    <w:rsid w:val="001D0037"/>
    <w:rsid w:val="001D1D6B"/>
    <w:rsid w:val="001D263B"/>
    <w:rsid w:val="001D491E"/>
    <w:rsid w:val="001D5E2C"/>
    <w:rsid w:val="001E0AE6"/>
    <w:rsid w:val="001E0C11"/>
    <w:rsid w:val="001E21EA"/>
    <w:rsid w:val="001E504A"/>
    <w:rsid w:val="001E6459"/>
    <w:rsid w:val="001F27CA"/>
    <w:rsid w:val="001F7198"/>
    <w:rsid w:val="00205A71"/>
    <w:rsid w:val="00206A51"/>
    <w:rsid w:val="00206F81"/>
    <w:rsid w:val="002100F9"/>
    <w:rsid w:val="00211BC1"/>
    <w:rsid w:val="00213DE7"/>
    <w:rsid w:val="0021520D"/>
    <w:rsid w:val="00215F3F"/>
    <w:rsid w:val="00216834"/>
    <w:rsid w:val="0021767F"/>
    <w:rsid w:val="0022244C"/>
    <w:rsid w:val="0022296F"/>
    <w:rsid w:val="00224463"/>
    <w:rsid w:val="00224BD2"/>
    <w:rsid w:val="00225489"/>
    <w:rsid w:val="002277C9"/>
    <w:rsid w:val="002332DC"/>
    <w:rsid w:val="00233D1F"/>
    <w:rsid w:val="002342C4"/>
    <w:rsid w:val="00236BF9"/>
    <w:rsid w:val="002409A4"/>
    <w:rsid w:val="002414E4"/>
    <w:rsid w:val="00243DDA"/>
    <w:rsid w:val="002503DD"/>
    <w:rsid w:val="0025171D"/>
    <w:rsid w:val="00252FA8"/>
    <w:rsid w:val="0025550E"/>
    <w:rsid w:val="00255D03"/>
    <w:rsid w:val="0025700E"/>
    <w:rsid w:val="00257708"/>
    <w:rsid w:val="002613D4"/>
    <w:rsid w:val="00262A37"/>
    <w:rsid w:val="00262CC8"/>
    <w:rsid w:val="00262EA8"/>
    <w:rsid w:val="00264557"/>
    <w:rsid w:val="00272C5E"/>
    <w:rsid w:val="00282BE1"/>
    <w:rsid w:val="00286A4C"/>
    <w:rsid w:val="002916B0"/>
    <w:rsid w:val="0029183D"/>
    <w:rsid w:val="002945C7"/>
    <w:rsid w:val="00294A2C"/>
    <w:rsid w:val="00294CE7"/>
    <w:rsid w:val="002951D7"/>
    <w:rsid w:val="0029726B"/>
    <w:rsid w:val="002A06D3"/>
    <w:rsid w:val="002A1977"/>
    <w:rsid w:val="002A2C87"/>
    <w:rsid w:val="002A3689"/>
    <w:rsid w:val="002A3931"/>
    <w:rsid w:val="002A4B0B"/>
    <w:rsid w:val="002B03A2"/>
    <w:rsid w:val="002B27BD"/>
    <w:rsid w:val="002B29E1"/>
    <w:rsid w:val="002B457D"/>
    <w:rsid w:val="002C48F3"/>
    <w:rsid w:val="002C4AFB"/>
    <w:rsid w:val="002C5352"/>
    <w:rsid w:val="002D239F"/>
    <w:rsid w:val="002D3683"/>
    <w:rsid w:val="002D53E6"/>
    <w:rsid w:val="002D6346"/>
    <w:rsid w:val="002D717D"/>
    <w:rsid w:val="002D7B4A"/>
    <w:rsid w:val="002D7E1A"/>
    <w:rsid w:val="002E2218"/>
    <w:rsid w:val="002E2D39"/>
    <w:rsid w:val="002E3422"/>
    <w:rsid w:val="002E44BB"/>
    <w:rsid w:val="002E48A5"/>
    <w:rsid w:val="002E539E"/>
    <w:rsid w:val="002E6759"/>
    <w:rsid w:val="002E6811"/>
    <w:rsid w:val="002E6B93"/>
    <w:rsid w:val="002E6FC7"/>
    <w:rsid w:val="002E7467"/>
    <w:rsid w:val="002F2751"/>
    <w:rsid w:val="002F3595"/>
    <w:rsid w:val="002F3A2C"/>
    <w:rsid w:val="002F47E4"/>
    <w:rsid w:val="002F67AF"/>
    <w:rsid w:val="00301AB5"/>
    <w:rsid w:val="00301EA8"/>
    <w:rsid w:val="00302766"/>
    <w:rsid w:val="00304601"/>
    <w:rsid w:val="0031303D"/>
    <w:rsid w:val="0031338C"/>
    <w:rsid w:val="0031428F"/>
    <w:rsid w:val="00316548"/>
    <w:rsid w:val="00316643"/>
    <w:rsid w:val="00317786"/>
    <w:rsid w:val="00322402"/>
    <w:rsid w:val="003227D4"/>
    <w:rsid w:val="00324CE4"/>
    <w:rsid w:val="00331D48"/>
    <w:rsid w:val="003326F1"/>
    <w:rsid w:val="00335B85"/>
    <w:rsid w:val="003365D6"/>
    <w:rsid w:val="00336B47"/>
    <w:rsid w:val="003371C8"/>
    <w:rsid w:val="003372D1"/>
    <w:rsid w:val="003404DD"/>
    <w:rsid w:val="00340A6C"/>
    <w:rsid w:val="00340B49"/>
    <w:rsid w:val="003461C4"/>
    <w:rsid w:val="00351BED"/>
    <w:rsid w:val="00352615"/>
    <w:rsid w:val="003544B1"/>
    <w:rsid w:val="00355C36"/>
    <w:rsid w:val="003600E8"/>
    <w:rsid w:val="00360132"/>
    <w:rsid w:val="00361010"/>
    <w:rsid w:val="00361458"/>
    <w:rsid w:val="0036166F"/>
    <w:rsid w:val="00361942"/>
    <w:rsid w:val="00362080"/>
    <w:rsid w:val="00363FF0"/>
    <w:rsid w:val="00364E49"/>
    <w:rsid w:val="003656BC"/>
    <w:rsid w:val="0036602B"/>
    <w:rsid w:val="00366CC6"/>
    <w:rsid w:val="0036719F"/>
    <w:rsid w:val="00367DA5"/>
    <w:rsid w:val="003703D5"/>
    <w:rsid w:val="0037041F"/>
    <w:rsid w:val="00370BA4"/>
    <w:rsid w:val="003722EE"/>
    <w:rsid w:val="0037297D"/>
    <w:rsid w:val="0037415A"/>
    <w:rsid w:val="00375A8D"/>
    <w:rsid w:val="003803C5"/>
    <w:rsid w:val="00381567"/>
    <w:rsid w:val="00382CC6"/>
    <w:rsid w:val="003839E5"/>
    <w:rsid w:val="00384E04"/>
    <w:rsid w:val="00385FB1"/>
    <w:rsid w:val="00387400"/>
    <w:rsid w:val="003903D7"/>
    <w:rsid w:val="0039282D"/>
    <w:rsid w:val="00392981"/>
    <w:rsid w:val="00394B00"/>
    <w:rsid w:val="003957C2"/>
    <w:rsid w:val="003A01EF"/>
    <w:rsid w:val="003A062C"/>
    <w:rsid w:val="003A137A"/>
    <w:rsid w:val="003A1A28"/>
    <w:rsid w:val="003A3676"/>
    <w:rsid w:val="003A41B0"/>
    <w:rsid w:val="003A7EBA"/>
    <w:rsid w:val="003B2102"/>
    <w:rsid w:val="003B254F"/>
    <w:rsid w:val="003B4223"/>
    <w:rsid w:val="003B723C"/>
    <w:rsid w:val="003C3C08"/>
    <w:rsid w:val="003C523B"/>
    <w:rsid w:val="003C7DF8"/>
    <w:rsid w:val="003C7F47"/>
    <w:rsid w:val="003D1666"/>
    <w:rsid w:val="003D1698"/>
    <w:rsid w:val="003D1A76"/>
    <w:rsid w:val="003D50E5"/>
    <w:rsid w:val="003D60CF"/>
    <w:rsid w:val="003E105D"/>
    <w:rsid w:val="003E4178"/>
    <w:rsid w:val="003E454F"/>
    <w:rsid w:val="003E4E5C"/>
    <w:rsid w:val="003E6839"/>
    <w:rsid w:val="003F0822"/>
    <w:rsid w:val="003F0FB0"/>
    <w:rsid w:val="003F2C37"/>
    <w:rsid w:val="003F3A70"/>
    <w:rsid w:val="003F3C5D"/>
    <w:rsid w:val="003F4ED0"/>
    <w:rsid w:val="003F6F01"/>
    <w:rsid w:val="00401852"/>
    <w:rsid w:val="004041E5"/>
    <w:rsid w:val="0040654F"/>
    <w:rsid w:val="00407B08"/>
    <w:rsid w:val="00413BBB"/>
    <w:rsid w:val="004150DC"/>
    <w:rsid w:val="00421081"/>
    <w:rsid w:val="00421BDA"/>
    <w:rsid w:val="00421DEE"/>
    <w:rsid w:val="00423EBF"/>
    <w:rsid w:val="00431464"/>
    <w:rsid w:val="00432C87"/>
    <w:rsid w:val="0043350D"/>
    <w:rsid w:val="00436571"/>
    <w:rsid w:val="0044073D"/>
    <w:rsid w:val="00440A46"/>
    <w:rsid w:val="00441EE1"/>
    <w:rsid w:val="0044249D"/>
    <w:rsid w:val="00442570"/>
    <w:rsid w:val="004429F3"/>
    <w:rsid w:val="00447430"/>
    <w:rsid w:val="00447845"/>
    <w:rsid w:val="004514DB"/>
    <w:rsid w:val="00454683"/>
    <w:rsid w:val="0045480C"/>
    <w:rsid w:val="004562E3"/>
    <w:rsid w:val="00456AE0"/>
    <w:rsid w:val="00462A86"/>
    <w:rsid w:val="004715A0"/>
    <w:rsid w:val="00472808"/>
    <w:rsid w:val="004766EE"/>
    <w:rsid w:val="0047726B"/>
    <w:rsid w:val="004826FB"/>
    <w:rsid w:val="00483098"/>
    <w:rsid w:val="00483321"/>
    <w:rsid w:val="004868EC"/>
    <w:rsid w:val="00490EC9"/>
    <w:rsid w:val="00491649"/>
    <w:rsid w:val="00492705"/>
    <w:rsid w:val="004929AA"/>
    <w:rsid w:val="00492E07"/>
    <w:rsid w:val="004A06D9"/>
    <w:rsid w:val="004A29EC"/>
    <w:rsid w:val="004A46B1"/>
    <w:rsid w:val="004A794E"/>
    <w:rsid w:val="004B0DEA"/>
    <w:rsid w:val="004B1BAB"/>
    <w:rsid w:val="004B3AC3"/>
    <w:rsid w:val="004B40E8"/>
    <w:rsid w:val="004B4BED"/>
    <w:rsid w:val="004B720F"/>
    <w:rsid w:val="004C18B7"/>
    <w:rsid w:val="004C18B8"/>
    <w:rsid w:val="004C3682"/>
    <w:rsid w:val="004C420D"/>
    <w:rsid w:val="004C4BA1"/>
    <w:rsid w:val="004C4C68"/>
    <w:rsid w:val="004C5001"/>
    <w:rsid w:val="004C56F1"/>
    <w:rsid w:val="004D0288"/>
    <w:rsid w:val="004D29E9"/>
    <w:rsid w:val="004D32FF"/>
    <w:rsid w:val="004D3F3F"/>
    <w:rsid w:val="004D3FCA"/>
    <w:rsid w:val="004D5845"/>
    <w:rsid w:val="004E10E4"/>
    <w:rsid w:val="004E2A20"/>
    <w:rsid w:val="004E2F68"/>
    <w:rsid w:val="004E34E0"/>
    <w:rsid w:val="004E4027"/>
    <w:rsid w:val="004E4D37"/>
    <w:rsid w:val="004E69EE"/>
    <w:rsid w:val="004F2EBB"/>
    <w:rsid w:val="004F36D9"/>
    <w:rsid w:val="004F41FF"/>
    <w:rsid w:val="004F6402"/>
    <w:rsid w:val="004F7821"/>
    <w:rsid w:val="0050149E"/>
    <w:rsid w:val="005044EA"/>
    <w:rsid w:val="00506A59"/>
    <w:rsid w:val="00506D0A"/>
    <w:rsid w:val="0051180D"/>
    <w:rsid w:val="005130A9"/>
    <w:rsid w:val="005135E4"/>
    <w:rsid w:val="005153AA"/>
    <w:rsid w:val="00515A3C"/>
    <w:rsid w:val="00515EC3"/>
    <w:rsid w:val="0051762F"/>
    <w:rsid w:val="005176C9"/>
    <w:rsid w:val="00517742"/>
    <w:rsid w:val="00522E05"/>
    <w:rsid w:val="005270EB"/>
    <w:rsid w:val="0052788B"/>
    <w:rsid w:val="00530B5B"/>
    <w:rsid w:val="00532CF0"/>
    <w:rsid w:val="0053441E"/>
    <w:rsid w:val="00541F9D"/>
    <w:rsid w:val="0054695A"/>
    <w:rsid w:val="00550AC0"/>
    <w:rsid w:val="00550C43"/>
    <w:rsid w:val="00551BE2"/>
    <w:rsid w:val="0055229E"/>
    <w:rsid w:val="00560B97"/>
    <w:rsid w:val="00560B9D"/>
    <w:rsid w:val="0056237F"/>
    <w:rsid w:val="0056798F"/>
    <w:rsid w:val="005709CC"/>
    <w:rsid w:val="00571737"/>
    <w:rsid w:val="00572D34"/>
    <w:rsid w:val="00574FB7"/>
    <w:rsid w:val="00575BBB"/>
    <w:rsid w:val="00581D5C"/>
    <w:rsid w:val="00582F26"/>
    <w:rsid w:val="00583377"/>
    <w:rsid w:val="0058404B"/>
    <w:rsid w:val="0058413C"/>
    <w:rsid w:val="0058504F"/>
    <w:rsid w:val="005858F3"/>
    <w:rsid w:val="00585CBF"/>
    <w:rsid w:val="005864C3"/>
    <w:rsid w:val="00586AB6"/>
    <w:rsid w:val="0058712E"/>
    <w:rsid w:val="005903E8"/>
    <w:rsid w:val="00590B55"/>
    <w:rsid w:val="00593EF9"/>
    <w:rsid w:val="005949A1"/>
    <w:rsid w:val="005956F5"/>
    <w:rsid w:val="005A41E2"/>
    <w:rsid w:val="005A68F2"/>
    <w:rsid w:val="005B4C0D"/>
    <w:rsid w:val="005B4F29"/>
    <w:rsid w:val="005B73FF"/>
    <w:rsid w:val="005B769A"/>
    <w:rsid w:val="005C00E5"/>
    <w:rsid w:val="005C46EF"/>
    <w:rsid w:val="005C64DC"/>
    <w:rsid w:val="005D2444"/>
    <w:rsid w:val="005D251D"/>
    <w:rsid w:val="005D569B"/>
    <w:rsid w:val="005E16AB"/>
    <w:rsid w:val="005E18E1"/>
    <w:rsid w:val="005E5367"/>
    <w:rsid w:val="005E5B9A"/>
    <w:rsid w:val="005E6DB0"/>
    <w:rsid w:val="005E747E"/>
    <w:rsid w:val="005E7579"/>
    <w:rsid w:val="005F26F5"/>
    <w:rsid w:val="005F40EF"/>
    <w:rsid w:val="005F542A"/>
    <w:rsid w:val="005F5B04"/>
    <w:rsid w:val="005F6766"/>
    <w:rsid w:val="005F7D21"/>
    <w:rsid w:val="00600A55"/>
    <w:rsid w:val="00601F92"/>
    <w:rsid w:val="0060211E"/>
    <w:rsid w:val="006023B9"/>
    <w:rsid w:val="006031FE"/>
    <w:rsid w:val="006045D6"/>
    <w:rsid w:val="00604A1B"/>
    <w:rsid w:val="00605C0A"/>
    <w:rsid w:val="006061B3"/>
    <w:rsid w:val="00606F16"/>
    <w:rsid w:val="0061592D"/>
    <w:rsid w:val="00615ED1"/>
    <w:rsid w:val="0061626F"/>
    <w:rsid w:val="00616C2D"/>
    <w:rsid w:val="00616E77"/>
    <w:rsid w:val="00617836"/>
    <w:rsid w:val="0062129C"/>
    <w:rsid w:val="00623655"/>
    <w:rsid w:val="00624A83"/>
    <w:rsid w:val="00625C2A"/>
    <w:rsid w:val="006272AF"/>
    <w:rsid w:val="00632963"/>
    <w:rsid w:val="00633D8A"/>
    <w:rsid w:val="006366D2"/>
    <w:rsid w:val="00640963"/>
    <w:rsid w:val="00642DCA"/>
    <w:rsid w:val="00644192"/>
    <w:rsid w:val="0064455D"/>
    <w:rsid w:val="006446A7"/>
    <w:rsid w:val="0064714C"/>
    <w:rsid w:val="00650B66"/>
    <w:rsid w:val="006532F1"/>
    <w:rsid w:val="00653763"/>
    <w:rsid w:val="00656CA8"/>
    <w:rsid w:val="0066209E"/>
    <w:rsid w:val="006622C8"/>
    <w:rsid w:val="00662A91"/>
    <w:rsid w:val="00662E1F"/>
    <w:rsid w:val="006650D6"/>
    <w:rsid w:val="0066580F"/>
    <w:rsid w:val="00666C28"/>
    <w:rsid w:val="00667621"/>
    <w:rsid w:val="006713F5"/>
    <w:rsid w:val="006715ED"/>
    <w:rsid w:val="00672FAD"/>
    <w:rsid w:val="00677646"/>
    <w:rsid w:val="00680078"/>
    <w:rsid w:val="00681C3F"/>
    <w:rsid w:val="00682875"/>
    <w:rsid w:val="0068298E"/>
    <w:rsid w:val="006835A4"/>
    <w:rsid w:val="006859ED"/>
    <w:rsid w:val="00687090"/>
    <w:rsid w:val="00691538"/>
    <w:rsid w:val="00692D7B"/>
    <w:rsid w:val="006930C6"/>
    <w:rsid w:val="006A05D4"/>
    <w:rsid w:val="006A3877"/>
    <w:rsid w:val="006A3E15"/>
    <w:rsid w:val="006B0F00"/>
    <w:rsid w:val="006B11A2"/>
    <w:rsid w:val="006B1B09"/>
    <w:rsid w:val="006B42E3"/>
    <w:rsid w:val="006B4BFE"/>
    <w:rsid w:val="006B79C0"/>
    <w:rsid w:val="006B7A87"/>
    <w:rsid w:val="006C0FA2"/>
    <w:rsid w:val="006C285B"/>
    <w:rsid w:val="006C2EDE"/>
    <w:rsid w:val="006D0E74"/>
    <w:rsid w:val="006D14DD"/>
    <w:rsid w:val="006D29F6"/>
    <w:rsid w:val="006D33F5"/>
    <w:rsid w:val="006D3664"/>
    <w:rsid w:val="006D5989"/>
    <w:rsid w:val="006D6062"/>
    <w:rsid w:val="006D6F4D"/>
    <w:rsid w:val="006D79EB"/>
    <w:rsid w:val="006D7B6D"/>
    <w:rsid w:val="006E05FB"/>
    <w:rsid w:val="006E07A1"/>
    <w:rsid w:val="006E0F99"/>
    <w:rsid w:val="006E237F"/>
    <w:rsid w:val="006E3C08"/>
    <w:rsid w:val="006E4963"/>
    <w:rsid w:val="006E5BC0"/>
    <w:rsid w:val="006F1438"/>
    <w:rsid w:val="006F22E2"/>
    <w:rsid w:val="006F2848"/>
    <w:rsid w:val="006F3116"/>
    <w:rsid w:val="006F4341"/>
    <w:rsid w:val="006F536C"/>
    <w:rsid w:val="006F5888"/>
    <w:rsid w:val="00700369"/>
    <w:rsid w:val="0070249B"/>
    <w:rsid w:val="0070478E"/>
    <w:rsid w:val="00705F3D"/>
    <w:rsid w:val="00706464"/>
    <w:rsid w:val="00706873"/>
    <w:rsid w:val="00706B40"/>
    <w:rsid w:val="00714159"/>
    <w:rsid w:val="00714509"/>
    <w:rsid w:val="00716F43"/>
    <w:rsid w:val="007176B8"/>
    <w:rsid w:val="0071797C"/>
    <w:rsid w:val="007205D8"/>
    <w:rsid w:val="0072178E"/>
    <w:rsid w:val="00722EE6"/>
    <w:rsid w:val="007230D5"/>
    <w:rsid w:val="00730B1D"/>
    <w:rsid w:val="0073339D"/>
    <w:rsid w:val="00733A25"/>
    <w:rsid w:val="00734BA3"/>
    <w:rsid w:val="0073637B"/>
    <w:rsid w:val="00741CDD"/>
    <w:rsid w:val="007460F2"/>
    <w:rsid w:val="00746622"/>
    <w:rsid w:val="00746674"/>
    <w:rsid w:val="007477B8"/>
    <w:rsid w:val="00753F53"/>
    <w:rsid w:val="00754385"/>
    <w:rsid w:val="0075508C"/>
    <w:rsid w:val="007633B9"/>
    <w:rsid w:val="0076711A"/>
    <w:rsid w:val="00767935"/>
    <w:rsid w:val="00772334"/>
    <w:rsid w:val="00772F10"/>
    <w:rsid w:val="00781606"/>
    <w:rsid w:val="00781885"/>
    <w:rsid w:val="00783746"/>
    <w:rsid w:val="00785C47"/>
    <w:rsid w:val="00786254"/>
    <w:rsid w:val="00791CFB"/>
    <w:rsid w:val="007924F8"/>
    <w:rsid w:val="00792D1D"/>
    <w:rsid w:val="00792DD3"/>
    <w:rsid w:val="00792F28"/>
    <w:rsid w:val="00792FA2"/>
    <w:rsid w:val="00793601"/>
    <w:rsid w:val="007938C9"/>
    <w:rsid w:val="007A0FC2"/>
    <w:rsid w:val="007A32B4"/>
    <w:rsid w:val="007A34B5"/>
    <w:rsid w:val="007A509E"/>
    <w:rsid w:val="007A6D8C"/>
    <w:rsid w:val="007A75E0"/>
    <w:rsid w:val="007B1140"/>
    <w:rsid w:val="007B12E3"/>
    <w:rsid w:val="007B1431"/>
    <w:rsid w:val="007B5D10"/>
    <w:rsid w:val="007B79D0"/>
    <w:rsid w:val="007C05C2"/>
    <w:rsid w:val="007C0E0D"/>
    <w:rsid w:val="007C28F4"/>
    <w:rsid w:val="007C3987"/>
    <w:rsid w:val="007C4C08"/>
    <w:rsid w:val="007C5BA4"/>
    <w:rsid w:val="007C6417"/>
    <w:rsid w:val="007D115D"/>
    <w:rsid w:val="007D2473"/>
    <w:rsid w:val="007D4E10"/>
    <w:rsid w:val="007D739C"/>
    <w:rsid w:val="007E091A"/>
    <w:rsid w:val="007E16E1"/>
    <w:rsid w:val="007E4AB5"/>
    <w:rsid w:val="007E5E04"/>
    <w:rsid w:val="007F14DB"/>
    <w:rsid w:val="007F2549"/>
    <w:rsid w:val="007F365E"/>
    <w:rsid w:val="00800BF8"/>
    <w:rsid w:val="008040E9"/>
    <w:rsid w:val="008111AB"/>
    <w:rsid w:val="008131AE"/>
    <w:rsid w:val="00817E01"/>
    <w:rsid w:val="0082532F"/>
    <w:rsid w:val="00825850"/>
    <w:rsid w:val="00831987"/>
    <w:rsid w:val="008335AD"/>
    <w:rsid w:val="008347D2"/>
    <w:rsid w:val="00836126"/>
    <w:rsid w:val="00840865"/>
    <w:rsid w:val="008420E7"/>
    <w:rsid w:val="0084232F"/>
    <w:rsid w:val="008452D7"/>
    <w:rsid w:val="00850080"/>
    <w:rsid w:val="00852235"/>
    <w:rsid w:val="00857958"/>
    <w:rsid w:val="00861085"/>
    <w:rsid w:val="00862770"/>
    <w:rsid w:val="00863B7A"/>
    <w:rsid w:val="00863F11"/>
    <w:rsid w:val="008669DB"/>
    <w:rsid w:val="00874C83"/>
    <w:rsid w:val="0087613D"/>
    <w:rsid w:val="00877106"/>
    <w:rsid w:val="0088049D"/>
    <w:rsid w:val="008810F9"/>
    <w:rsid w:val="00881260"/>
    <w:rsid w:val="008839C3"/>
    <w:rsid w:val="00892D9C"/>
    <w:rsid w:val="008A03F5"/>
    <w:rsid w:val="008A079C"/>
    <w:rsid w:val="008A533E"/>
    <w:rsid w:val="008A5DA8"/>
    <w:rsid w:val="008A6384"/>
    <w:rsid w:val="008A6B19"/>
    <w:rsid w:val="008B0045"/>
    <w:rsid w:val="008B11B8"/>
    <w:rsid w:val="008B13A9"/>
    <w:rsid w:val="008B15F8"/>
    <w:rsid w:val="008B1747"/>
    <w:rsid w:val="008B1F0E"/>
    <w:rsid w:val="008B4E62"/>
    <w:rsid w:val="008B512A"/>
    <w:rsid w:val="008B6547"/>
    <w:rsid w:val="008B6B95"/>
    <w:rsid w:val="008C0EA0"/>
    <w:rsid w:val="008C2A39"/>
    <w:rsid w:val="008C2DBF"/>
    <w:rsid w:val="008C3C95"/>
    <w:rsid w:val="008C4A87"/>
    <w:rsid w:val="008D0200"/>
    <w:rsid w:val="008D0369"/>
    <w:rsid w:val="008D208F"/>
    <w:rsid w:val="008D2C29"/>
    <w:rsid w:val="008D35FA"/>
    <w:rsid w:val="008D4125"/>
    <w:rsid w:val="008D4169"/>
    <w:rsid w:val="008D41C4"/>
    <w:rsid w:val="008D50C8"/>
    <w:rsid w:val="008D55C8"/>
    <w:rsid w:val="008D7F98"/>
    <w:rsid w:val="008E2299"/>
    <w:rsid w:val="008E2B84"/>
    <w:rsid w:val="008E3AE8"/>
    <w:rsid w:val="008E5C5C"/>
    <w:rsid w:val="008E70D5"/>
    <w:rsid w:val="008E78FB"/>
    <w:rsid w:val="008F188E"/>
    <w:rsid w:val="008F1C9C"/>
    <w:rsid w:val="008F7B1B"/>
    <w:rsid w:val="0090078A"/>
    <w:rsid w:val="0090136A"/>
    <w:rsid w:val="009042AC"/>
    <w:rsid w:val="009109EE"/>
    <w:rsid w:val="00913027"/>
    <w:rsid w:val="009132A0"/>
    <w:rsid w:val="00916D43"/>
    <w:rsid w:val="00916D56"/>
    <w:rsid w:val="00917D0E"/>
    <w:rsid w:val="00917D20"/>
    <w:rsid w:val="00922637"/>
    <w:rsid w:val="009232A7"/>
    <w:rsid w:val="009244E8"/>
    <w:rsid w:val="00924ADD"/>
    <w:rsid w:val="0092546C"/>
    <w:rsid w:val="00931252"/>
    <w:rsid w:val="009321BE"/>
    <w:rsid w:val="0093775B"/>
    <w:rsid w:val="009423FD"/>
    <w:rsid w:val="00942E35"/>
    <w:rsid w:val="00950A25"/>
    <w:rsid w:val="00950CBE"/>
    <w:rsid w:val="00956204"/>
    <w:rsid w:val="00962200"/>
    <w:rsid w:val="009649FD"/>
    <w:rsid w:val="00965141"/>
    <w:rsid w:val="00965C43"/>
    <w:rsid w:val="009669BF"/>
    <w:rsid w:val="00967FBB"/>
    <w:rsid w:val="009705A9"/>
    <w:rsid w:val="00970C5D"/>
    <w:rsid w:val="00974381"/>
    <w:rsid w:val="00976B0E"/>
    <w:rsid w:val="00976D67"/>
    <w:rsid w:val="009853D4"/>
    <w:rsid w:val="00986CB8"/>
    <w:rsid w:val="00990441"/>
    <w:rsid w:val="00992E0B"/>
    <w:rsid w:val="009958E2"/>
    <w:rsid w:val="00996E13"/>
    <w:rsid w:val="0099731A"/>
    <w:rsid w:val="009A06FC"/>
    <w:rsid w:val="009A0DB1"/>
    <w:rsid w:val="009A30CF"/>
    <w:rsid w:val="009A47FA"/>
    <w:rsid w:val="009A5451"/>
    <w:rsid w:val="009A5C98"/>
    <w:rsid w:val="009A7A93"/>
    <w:rsid w:val="009B1D86"/>
    <w:rsid w:val="009B2BC5"/>
    <w:rsid w:val="009B40D4"/>
    <w:rsid w:val="009B4765"/>
    <w:rsid w:val="009C2BB2"/>
    <w:rsid w:val="009C58B7"/>
    <w:rsid w:val="009C6903"/>
    <w:rsid w:val="009D0029"/>
    <w:rsid w:val="009D0073"/>
    <w:rsid w:val="009D04B3"/>
    <w:rsid w:val="009D12F6"/>
    <w:rsid w:val="009D6E7F"/>
    <w:rsid w:val="009E287B"/>
    <w:rsid w:val="009E52B8"/>
    <w:rsid w:val="009E756C"/>
    <w:rsid w:val="009F13D4"/>
    <w:rsid w:val="009F1DBF"/>
    <w:rsid w:val="009F4157"/>
    <w:rsid w:val="009F5011"/>
    <w:rsid w:val="009F6C0B"/>
    <w:rsid w:val="00A01F4E"/>
    <w:rsid w:val="00A059DA"/>
    <w:rsid w:val="00A11A51"/>
    <w:rsid w:val="00A13895"/>
    <w:rsid w:val="00A146EE"/>
    <w:rsid w:val="00A14A01"/>
    <w:rsid w:val="00A17D31"/>
    <w:rsid w:val="00A22DA3"/>
    <w:rsid w:val="00A254C9"/>
    <w:rsid w:val="00A25E53"/>
    <w:rsid w:val="00A26460"/>
    <w:rsid w:val="00A31F0C"/>
    <w:rsid w:val="00A32D38"/>
    <w:rsid w:val="00A33EA1"/>
    <w:rsid w:val="00A34701"/>
    <w:rsid w:val="00A36425"/>
    <w:rsid w:val="00A36DCB"/>
    <w:rsid w:val="00A41473"/>
    <w:rsid w:val="00A42D91"/>
    <w:rsid w:val="00A43F74"/>
    <w:rsid w:val="00A4640F"/>
    <w:rsid w:val="00A4659C"/>
    <w:rsid w:val="00A500CF"/>
    <w:rsid w:val="00A5211F"/>
    <w:rsid w:val="00A52232"/>
    <w:rsid w:val="00A5340E"/>
    <w:rsid w:val="00A55288"/>
    <w:rsid w:val="00A56DB7"/>
    <w:rsid w:val="00A64123"/>
    <w:rsid w:val="00A64A6A"/>
    <w:rsid w:val="00A67D4A"/>
    <w:rsid w:val="00A67ED7"/>
    <w:rsid w:val="00A71C22"/>
    <w:rsid w:val="00A73EE1"/>
    <w:rsid w:val="00A74878"/>
    <w:rsid w:val="00A76ABF"/>
    <w:rsid w:val="00A76EDF"/>
    <w:rsid w:val="00A77209"/>
    <w:rsid w:val="00A77C97"/>
    <w:rsid w:val="00A80142"/>
    <w:rsid w:val="00A81351"/>
    <w:rsid w:val="00A81359"/>
    <w:rsid w:val="00A825A1"/>
    <w:rsid w:val="00A82E19"/>
    <w:rsid w:val="00A83214"/>
    <w:rsid w:val="00A836E0"/>
    <w:rsid w:val="00A837C2"/>
    <w:rsid w:val="00A84DEA"/>
    <w:rsid w:val="00A8547B"/>
    <w:rsid w:val="00A87275"/>
    <w:rsid w:val="00A90A85"/>
    <w:rsid w:val="00A93BEA"/>
    <w:rsid w:val="00A96D39"/>
    <w:rsid w:val="00A97AD3"/>
    <w:rsid w:val="00AA236F"/>
    <w:rsid w:val="00AA2ECB"/>
    <w:rsid w:val="00AA31E1"/>
    <w:rsid w:val="00AA49AF"/>
    <w:rsid w:val="00AA57A2"/>
    <w:rsid w:val="00AA6097"/>
    <w:rsid w:val="00AA6F91"/>
    <w:rsid w:val="00AA7141"/>
    <w:rsid w:val="00AB0268"/>
    <w:rsid w:val="00AB0279"/>
    <w:rsid w:val="00AB049C"/>
    <w:rsid w:val="00AB058F"/>
    <w:rsid w:val="00AB47A3"/>
    <w:rsid w:val="00AB5D95"/>
    <w:rsid w:val="00AC5D02"/>
    <w:rsid w:val="00AC5F03"/>
    <w:rsid w:val="00AD457D"/>
    <w:rsid w:val="00AD4AB9"/>
    <w:rsid w:val="00AD5FB9"/>
    <w:rsid w:val="00AE1E7E"/>
    <w:rsid w:val="00AE37AA"/>
    <w:rsid w:val="00AE7FF9"/>
    <w:rsid w:val="00AF1262"/>
    <w:rsid w:val="00AF14A6"/>
    <w:rsid w:val="00AF1F98"/>
    <w:rsid w:val="00AF2C5A"/>
    <w:rsid w:val="00AF479A"/>
    <w:rsid w:val="00AF4991"/>
    <w:rsid w:val="00AF73F1"/>
    <w:rsid w:val="00B009C2"/>
    <w:rsid w:val="00B00A00"/>
    <w:rsid w:val="00B03450"/>
    <w:rsid w:val="00B0517C"/>
    <w:rsid w:val="00B0571D"/>
    <w:rsid w:val="00B063DB"/>
    <w:rsid w:val="00B1003D"/>
    <w:rsid w:val="00B11D74"/>
    <w:rsid w:val="00B129F6"/>
    <w:rsid w:val="00B149EA"/>
    <w:rsid w:val="00B209B3"/>
    <w:rsid w:val="00B2283D"/>
    <w:rsid w:val="00B2493C"/>
    <w:rsid w:val="00B25F72"/>
    <w:rsid w:val="00B30011"/>
    <w:rsid w:val="00B30FE6"/>
    <w:rsid w:val="00B32735"/>
    <w:rsid w:val="00B32918"/>
    <w:rsid w:val="00B330AA"/>
    <w:rsid w:val="00B3397A"/>
    <w:rsid w:val="00B36CE7"/>
    <w:rsid w:val="00B45A70"/>
    <w:rsid w:val="00B4792E"/>
    <w:rsid w:val="00B556AE"/>
    <w:rsid w:val="00B56B7B"/>
    <w:rsid w:val="00B57154"/>
    <w:rsid w:val="00B579A9"/>
    <w:rsid w:val="00B61FB0"/>
    <w:rsid w:val="00B62B58"/>
    <w:rsid w:val="00B63DFA"/>
    <w:rsid w:val="00B65F83"/>
    <w:rsid w:val="00B67833"/>
    <w:rsid w:val="00B67B3F"/>
    <w:rsid w:val="00B67D26"/>
    <w:rsid w:val="00B753DA"/>
    <w:rsid w:val="00B7569B"/>
    <w:rsid w:val="00B82900"/>
    <w:rsid w:val="00B8453E"/>
    <w:rsid w:val="00B86BCC"/>
    <w:rsid w:val="00B91F52"/>
    <w:rsid w:val="00B92B04"/>
    <w:rsid w:val="00B940E8"/>
    <w:rsid w:val="00B9547C"/>
    <w:rsid w:val="00B973EA"/>
    <w:rsid w:val="00B97E50"/>
    <w:rsid w:val="00BA5D8B"/>
    <w:rsid w:val="00BA637F"/>
    <w:rsid w:val="00BB1954"/>
    <w:rsid w:val="00BB4C9F"/>
    <w:rsid w:val="00BB6DB2"/>
    <w:rsid w:val="00BC1A2A"/>
    <w:rsid w:val="00BC1E49"/>
    <w:rsid w:val="00BC5976"/>
    <w:rsid w:val="00BC5F21"/>
    <w:rsid w:val="00BD413E"/>
    <w:rsid w:val="00BD4CCC"/>
    <w:rsid w:val="00BD6504"/>
    <w:rsid w:val="00BD6720"/>
    <w:rsid w:val="00BD6836"/>
    <w:rsid w:val="00BE3A0F"/>
    <w:rsid w:val="00BE43B2"/>
    <w:rsid w:val="00BE478E"/>
    <w:rsid w:val="00BF133F"/>
    <w:rsid w:val="00BF24BC"/>
    <w:rsid w:val="00BF26FD"/>
    <w:rsid w:val="00BF56B1"/>
    <w:rsid w:val="00BF58A1"/>
    <w:rsid w:val="00BF7FBD"/>
    <w:rsid w:val="00C00BD8"/>
    <w:rsid w:val="00C02962"/>
    <w:rsid w:val="00C029EA"/>
    <w:rsid w:val="00C059C8"/>
    <w:rsid w:val="00C10369"/>
    <w:rsid w:val="00C10592"/>
    <w:rsid w:val="00C14E59"/>
    <w:rsid w:val="00C15172"/>
    <w:rsid w:val="00C16AC9"/>
    <w:rsid w:val="00C245A6"/>
    <w:rsid w:val="00C26767"/>
    <w:rsid w:val="00C27CA1"/>
    <w:rsid w:val="00C3162D"/>
    <w:rsid w:val="00C31E0A"/>
    <w:rsid w:val="00C32CC2"/>
    <w:rsid w:val="00C32F2E"/>
    <w:rsid w:val="00C344B6"/>
    <w:rsid w:val="00C41709"/>
    <w:rsid w:val="00C42A49"/>
    <w:rsid w:val="00C4316C"/>
    <w:rsid w:val="00C44DDA"/>
    <w:rsid w:val="00C44E2E"/>
    <w:rsid w:val="00C468C7"/>
    <w:rsid w:val="00C50826"/>
    <w:rsid w:val="00C50950"/>
    <w:rsid w:val="00C52377"/>
    <w:rsid w:val="00C5247C"/>
    <w:rsid w:val="00C53AA8"/>
    <w:rsid w:val="00C57A26"/>
    <w:rsid w:val="00C6252C"/>
    <w:rsid w:val="00C6296B"/>
    <w:rsid w:val="00C62C05"/>
    <w:rsid w:val="00C662EC"/>
    <w:rsid w:val="00C7548E"/>
    <w:rsid w:val="00C80342"/>
    <w:rsid w:val="00C8164F"/>
    <w:rsid w:val="00C919FB"/>
    <w:rsid w:val="00CA4BC1"/>
    <w:rsid w:val="00CA626A"/>
    <w:rsid w:val="00CB157B"/>
    <w:rsid w:val="00CB186B"/>
    <w:rsid w:val="00CB459D"/>
    <w:rsid w:val="00CB50C0"/>
    <w:rsid w:val="00CB5667"/>
    <w:rsid w:val="00CC0F2A"/>
    <w:rsid w:val="00CC1CA1"/>
    <w:rsid w:val="00CC2135"/>
    <w:rsid w:val="00CC21C9"/>
    <w:rsid w:val="00CC3D94"/>
    <w:rsid w:val="00CC5879"/>
    <w:rsid w:val="00CC5EDE"/>
    <w:rsid w:val="00CC756C"/>
    <w:rsid w:val="00CC7DE9"/>
    <w:rsid w:val="00CD231D"/>
    <w:rsid w:val="00CD2633"/>
    <w:rsid w:val="00CD2E53"/>
    <w:rsid w:val="00CD35E0"/>
    <w:rsid w:val="00CE1B6A"/>
    <w:rsid w:val="00CE23C5"/>
    <w:rsid w:val="00CE56A8"/>
    <w:rsid w:val="00CE64FF"/>
    <w:rsid w:val="00CE7AFB"/>
    <w:rsid w:val="00CF0A4A"/>
    <w:rsid w:val="00CF1525"/>
    <w:rsid w:val="00CF3099"/>
    <w:rsid w:val="00CF3364"/>
    <w:rsid w:val="00CF44D8"/>
    <w:rsid w:val="00CF58B9"/>
    <w:rsid w:val="00CF6208"/>
    <w:rsid w:val="00CF7EEB"/>
    <w:rsid w:val="00D010D0"/>
    <w:rsid w:val="00D014FC"/>
    <w:rsid w:val="00D03968"/>
    <w:rsid w:val="00D046CD"/>
    <w:rsid w:val="00D04FD3"/>
    <w:rsid w:val="00D064F8"/>
    <w:rsid w:val="00D06569"/>
    <w:rsid w:val="00D06AF8"/>
    <w:rsid w:val="00D07464"/>
    <w:rsid w:val="00D07BBC"/>
    <w:rsid w:val="00D1277A"/>
    <w:rsid w:val="00D127F2"/>
    <w:rsid w:val="00D128D4"/>
    <w:rsid w:val="00D151EC"/>
    <w:rsid w:val="00D1588D"/>
    <w:rsid w:val="00D176DC"/>
    <w:rsid w:val="00D17884"/>
    <w:rsid w:val="00D21388"/>
    <w:rsid w:val="00D23563"/>
    <w:rsid w:val="00D24CA2"/>
    <w:rsid w:val="00D25D08"/>
    <w:rsid w:val="00D25ED6"/>
    <w:rsid w:val="00D279CA"/>
    <w:rsid w:val="00D30002"/>
    <w:rsid w:val="00D314BE"/>
    <w:rsid w:val="00D329D3"/>
    <w:rsid w:val="00D32B57"/>
    <w:rsid w:val="00D32CC4"/>
    <w:rsid w:val="00D33A19"/>
    <w:rsid w:val="00D33C09"/>
    <w:rsid w:val="00D33D03"/>
    <w:rsid w:val="00D34498"/>
    <w:rsid w:val="00D349CE"/>
    <w:rsid w:val="00D349E9"/>
    <w:rsid w:val="00D34C7C"/>
    <w:rsid w:val="00D36B77"/>
    <w:rsid w:val="00D40453"/>
    <w:rsid w:val="00D40953"/>
    <w:rsid w:val="00D42492"/>
    <w:rsid w:val="00D42B92"/>
    <w:rsid w:val="00D4749F"/>
    <w:rsid w:val="00D531D2"/>
    <w:rsid w:val="00D53C88"/>
    <w:rsid w:val="00D54EB2"/>
    <w:rsid w:val="00D55626"/>
    <w:rsid w:val="00D55BEA"/>
    <w:rsid w:val="00D56754"/>
    <w:rsid w:val="00D57341"/>
    <w:rsid w:val="00D57552"/>
    <w:rsid w:val="00D60030"/>
    <w:rsid w:val="00D65D03"/>
    <w:rsid w:val="00D66AA1"/>
    <w:rsid w:val="00D71375"/>
    <w:rsid w:val="00D72977"/>
    <w:rsid w:val="00D73327"/>
    <w:rsid w:val="00D75A5D"/>
    <w:rsid w:val="00D76133"/>
    <w:rsid w:val="00D77D29"/>
    <w:rsid w:val="00D81955"/>
    <w:rsid w:val="00D823F9"/>
    <w:rsid w:val="00D8340A"/>
    <w:rsid w:val="00D851C9"/>
    <w:rsid w:val="00D92253"/>
    <w:rsid w:val="00D93FF8"/>
    <w:rsid w:val="00D94BEA"/>
    <w:rsid w:val="00DA078E"/>
    <w:rsid w:val="00DA2A6D"/>
    <w:rsid w:val="00DA31F4"/>
    <w:rsid w:val="00DA45BA"/>
    <w:rsid w:val="00DA6D65"/>
    <w:rsid w:val="00DB002F"/>
    <w:rsid w:val="00DB04BE"/>
    <w:rsid w:val="00DB43C8"/>
    <w:rsid w:val="00DB5386"/>
    <w:rsid w:val="00DC054C"/>
    <w:rsid w:val="00DC0B6F"/>
    <w:rsid w:val="00DC15AE"/>
    <w:rsid w:val="00DC5C85"/>
    <w:rsid w:val="00DC623C"/>
    <w:rsid w:val="00DD0A83"/>
    <w:rsid w:val="00DD0EF5"/>
    <w:rsid w:val="00DD1A22"/>
    <w:rsid w:val="00DD352E"/>
    <w:rsid w:val="00DD61A4"/>
    <w:rsid w:val="00DE221C"/>
    <w:rsid w:val="00DE3554"/>
    <w:rsid w:val="00DE4306"/>
    <w:rsid w:val="00DE49A0"/>
    <w:rsid w:val="00DE5BB4"/>
    <w:rsid w:val="00DE70B7"/>
    <w:rsid w:val="00DF226D"/>
    <w:rsid w:val="00DF2E81"/>
    <w:rsid w:val="00DF424F"/>
    <w:rsid w:val="00DF79BF"/>
    <w:rsid w:val="00DF7F82"/>
    <w:rsid w:val="00E0049D"/>
    <w:rsid w:val="00E01048"/>
    <w:rsid w:val="00E02148"/>
    <w:rsid w:val="00E0709B"/>
    <w:rsid w:val="00E10170"/>
    <w:rsid w:val="00E15A39"/>
    <w:rsid w:val="00E169AA"/>
    <w:rsid w:val="00E17A7A"/>
    <w:rsid w:val="00E231B9"/>
    <w:rsid w:val="00E23B68"/>
    <w:rsid w:val="00E252DD"/>
    <w:rsid w:val="00E315D5"/>
    <w:rsid w:val="00E3437D"/>
    <w:rsid w:val="00E34F9C"/>
    <w:rsid w:val="00E353DE"/>
    <w:rsid w:val="00E36659"/>
    <w:rsid w:val="00E37860"/>
    <w:rsid w:val="00E37EF5"/>
    <w:rsid w:val="00E41157"/>
    <w:rsid w:val="00E412E2"/>
    <w:rsid w:val="00E41EEB"/>
    <w:rsid w:val="00E427CB"/>
    <w:rsid w:val="00E45D18"/>
    <w:rsid w:val="00E50F85"/>
    <w:rsid w:val="00E5376E"/>
    <w:rsid w:val="00E541F5"/>
    <w:rsid w:val="00E542E3"/>
    <w:rsid w:val="00E560D9"/>
    <w:rsid w:val="00E5746E"/>
    <w:rsid w:val="00E57993"/>
    <w:rsid w:val="00E57EF0"/>
    <w:rsid w:val="00E60A0B"/>
    <w:rsid w:val="00E6128D"/>
    <w:rsid w:val="00E61BFC"/>
    <w:rsid w:val="00E61D13"/>
    <w:rsid w:val="00E625CF"/>
    <w:rsid w:val="00E63135"/>
    <w:rsid w:val="00E64A8E"/>
    <w:rsid w:val="00E64E1F"/>
    <w:rsid w:val="00E65D3C"/>
    <w:rsid w:val="00E67DE4"/>
    <w:rsid w:val="00E70CAD"/>
    <w:rsid w:val="00E71C79"/>
    <w:rsid w:val="00E74748"/>
    <w:rsid w:val="00E75A85"/>
    <w:rsid w:val="00E81271"/>
    <w:rsid w:val="00E83CFA"/>
    <w:rsid w:val="00E85BE4"/>
    <w:rsid w:val="00E86679"/>
    <w:rsid w:val="00E87970"/>
    <w:rsid w:val="00E87C14"/>
    <w:rsid w:val="00E946C6"/>
    <w:rsid w:val="00E97874"/>
    <w:rsid w:val="00EA0741"/>
    <w:rsid w:val="00EA157B"/>
    <w:rsid w:val="00EA17DC"/>
    <w:rsid w:val="00EA4D7C"/>
    <w:rsid w:val="00EA6008"/>
    <w:rsid w:val="00EA6889"/>
    <w:rsid w:val="00EA6ADE"/>
    <w:rsid w:val="00EC747E"/>
    <w:rsid w:val="00ED19BC"/>
    <w:rsid w:val="00ED1F6A"/>
    <w:rsid w:val="00ED3C95"/>
    <w:rsid w:val="00EE243F"/>
    <w:rsid w:val="00EE59CD"/>
    <w:rsid w:val="00EE5CCB"/>
    <w:rsid w:val="00EE638B"/>
    <w:rsid w:val="00EE6A4A"/>
    <w:rsid w:val="00EF01D6"/>
    <w:rsid w:val="00EF1FCB"/>
    <w:rsid w:val="00EF6F12"/>
    <w:rsid w:val="00F002AA"/>
    <w:rsid w:val="00F0339B"/>
    <w:rsid w:val="00F05948"/>
    <w:rsid w:val="00F07366"/>
    <w:rsid w:val="00F10110"/>
    <w:rsid w:val="00F10750"/>
    <w:rsid w:val="00F10FFE"/>
    <w:rsid w:val="00F1137A"/>
    <w:rsid w:val="00F11CF3"/>
    <w:rsid w:val="00F11F0F"/>
    <w:rsid w:val="00F1473F"/>
    <w:rsid w:val="00F156A3"/>
    <w:rsid w:val="00F1720B"/>
    <w:rsid w:val="00F17441"/>
    <w:rsid w:val="00F20440"/>
    <w:rsid w:val="00F21EC0"/>
    <w:rsid w:val="00F225C9"/>
    <w:rsid w:val="00F25F5D"/>
    <w:rsid w:val="00F2726D"/>
    <w:rsid w:val="00F27D26"/>
    <w:rsid w:val="00F30454"/>
    <w:rsid w:val="00F3229C"/>
    <w:rsid w:val="00F3610F"/>
    <w:rsid w:val="00F442B2"/>
    <w:rsid w:val="00F50B2C"/>
    <w:rsid w:val="00F5133A"/>
    <w:rsid w:val="00F533EA"/>
    <w:rsid w:val="00F541DC"/>
    <w:rsid w:val="00F54B6C"/>
    <w:rsid w:val="00F57DE2"/>
    <w:rsid w:val="00F61D9F"/>
    <w:rsid w:val="00F62073"/>
    <w:rsid w:val="00F62335"/>
    <w:rsid w:val="00F6483A"/>
    <w:rsid w:val="00F6665F"/>
    <w:rsid w:val="00F67B9E"/>
    <w:rsid w:val="00F70323"/>
    <w:rsid w:val="00F77648"/>
    <w:rsid w:val="00F819BB"/>
    <w:rsid w:val="00F81FAF"/>
    <w:rsid w:val="00F838B1"/>
    <w:rsid w:val="00F928BA"/>
    <w:rsid w:val="00F92B15"/>
    <w:rsid w:val="00F92B2A"/>
    <w:rsid w:val="00F93645"/>
    <w:rsid w:val="00F93781"/>
    <w:rsid w:val="00F93DF8"/>
    <w:rsid w:val="00F95312"/>
    <w:rsid w:val="00F9688D"/>
    <w:rsid w:val="00F9724E"/>
    <w:rsid w:val="00F9741C"/>
    <w:rsid w:val="00F97A35"/>
    <w:rsid w:val="00FA071E"/>
    <w:rsid w:val="00FA2A55"/>
    <w:rsid w:val="00FA7593"/>
    <w:rsid w:val="00FB28FB"/>
    <w:rsid w:val="00FB2BE7"/>
    <w:rsid w:val="00FB545A"/>
    <w:rsid w:val="00FB5EAD"/>
    <w:rsid w:val="00FC0795"/>
    <w:rsid w:val="00FC3B11"/>
    <w:rsid w:val="00FC3EB5"/>
    <w:rsid w:val="00FC4E26"/>
    <w:rsid w:val="00FC5E56"/>
    <w:rsid w:val="00FC60DB"/>
    <w:rsid w:val="00FD03D0"/>
    <w:rsid w:val="00FD0EB6"/>
    <w:rsid w:val="00FD2159"/>
    <w:rsid w:val="00FD219D"/>
    <w:rsid w:val="00FD2D1B"/>
    <w:rsid w:val="00FD2E94"/>
    <w:rsid w:val="00FD34FA"/>
    <w:rsid w:val="00FD3F8E"/>
    <w:rsid w:val="00FE38F3"/>
    <w:rsid w:val="00FF0014"/>
    <w:rsid w:val="00FF1CAE"/>
    <w:rsid w:val="00FF3323"/>
    <w:rsid w:val="00FF4879"/>
    <w:rsid w:val="00FF6543"/>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342E"/>
  <w15:chartTrackingRefBased/>
  <w15:docId w15:val="{CBDD7B8F-8B06-4BD8-920F-5BDF051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EF0"/>
    <w:rPr>
      <w:sz w:val="24"/>
      <w:szCs w:val="28"/>
    </w:rPr>
  </w:style>
  <w:style w:type="paragraph" w:styleId="Heading1">
    <w:name w:val="heading 1"/>
    <w:basedOn w:val="Normal"/>
    <w:next w:val="Normal"/>
    <w:link w:val="Heading1Char"/>
    <w:qFormat/>
    <w:rsid w:val="00E57EF0"/>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semiHidden/>
    <w:unhideWhenUsed/>
    <w:qFormat/>
    <w:rsid w:val="00925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2546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D81955"/>
    <w:pPr>
      <w:keepNext/>
      <w:spacing w:before="240" w:after="60"/>
      <w:outlineLvl w:val="3"/>
    </w:pPr>
    <w:rPr>
      <w:rFonts w:ascii="Calibri" w:hAnsi="Calibri"/>
      <w:b/>
      <w:bCs/>
      <w:sz w:val="28"/>
      <w:lang w:val="x-none" w:eastAsia="x-none"/>
    </w:rPr>
  </w:style>
  <w:style w:type="paragraph" w:styleId="Heading5">
    <w:name w:val="heading 5"/>
    <w:basedOn w:val="Normal"/>
    <w:next w:val="Normal"/>
    <w:link w:val="Heading5Char"/>
    <w:qFormat/>
    <w:rsid w:val="00E57EF0"/>
    <w:pPr>
      <w:keepNext/>
      <w:jc w:val="center"/>
      <w:outlineLvl w:val="4"/>
    </w:pPr>
    <w:rPr>
      <w:rFonts w:ascii=".VnTime" w:hAnsi=".VnTime"/>
      <w:b/>
      <w:sz w:val="26"/>
      <w:szCs w:val="20"/>
      <w:lang w:val="x-none" w:eastAsia="x-none"/>
    </w:rPr>
  </w:style>
  <w:style w:type="paragraph" w:styleId="Heading6">
    <w:name w:val="heading 6"/>
    <w:basedOn w:val="Normal"/>
    <w:next w:val="Normal"/>
    <w:link w:val="Heading6Char"/>
    <w:semiHidden/>
    <w:unhideWhenUsed/>
    <w:qFormat/>
    <w:rsid w:val="00D8195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EF0"/>
    <w:rPr>
      <w:rFonts w:ascii="Arial" w:hAnsi="Arial" w:cs="Arial"/>
      <w:b/>
      <w:bCs/>
      <w:kern w:val="32"/>
      <w:sz w:val="32"/>
      <w:szCs w:val="32"/>
    </w:rPr>
  </w:style>
  <w:style w:type="character" w:customStyle="1" w:styleId="Heading5Char">
    <w:name w:val="Heading 5 Char"/>
    <w:link w:val="Heading5"/>
    <w:rsid w:val="00E57EF0"/>
    <w:rPr>
      <w:rFonts w:ascii=".VnTime" w:hAnsi=".VnTime"/>
      <w:b/>
      <w:sz w:val="26"/>
    </w:rPr>
  </w:style>
  <w:style w:type="paragraph" w:customStyle="1" w:styleId="1">
    <w:name w:val="1"/>
    <w:aliases w:val="1 Char Char Char Char Char Char Char Char Char Char Char Char Char Char Char Char Char Char"/>
    <w:next w:val="Normal"/>
    <w:autoRedefine/>
    <w:uiPriority w:val="99"/>
    <w:semiHidden/>
    <w:rsid w:val="00916D56"/>
    <w:pPr>
      <w:spacing w:after="160" w:line="240" w:lineRule="exact"/>
      <w:jc w:val="both"/>
    </w:pPr>
    <w:rPr>
      <w:sz w:val="28"/>
      <w:szCs w:val="28"/>
    </w:rPr>
  </w:style>
  <w:style w:type="paragraph" w:styleId="BalloonText">
    <w:name w:val="Balloon Text"/>
    <w:basedOn w:val="Normal"/>
    <w:link w:val="BalloonTextChar"/>
    <w:uiPriority w:val="99"/>
    <w:semiHidden/>
    <w:unhideWhenUsed/>
    <w:rsid w:val="00EA4D7C"/>
    <w:rPr>
      <w:rFonts w:ascii="Tahoma" w:hAnsi="Tahoma"/>
      <w:sz w:val="16"/>
      <w:szCs w:val="16"/>
      <w:lang w:val="x-none" w:eastAsia="x-none"/>
    </w:rPr>
  </w:style>
  <w:style w:type="character" w:customStyle="1" w:styleId="BalloonTextChar">
    <w:name w:val="Balloon Text Char"/>
    <w:link w:val="BalloonText"/>
    <w:uiPriority w:val="99"/>
    <w:semiHidden/>
    <w:rsid w:val="00EA4D7C"/>
    <w:rPr>
      <w:rFonts w:ascii="Tahoma" w:hAnsi="Tahoma" w:cs="Tahoma"/>
      <w:sz w:val="16"/>
      <w:szCs w:val="16"/>
    </w:rPr>
  </w:style>
  <w:style w:type="character" w:customStyle="1" w:styleId="Heading4Char">
    <w:name w:val="Heading 4 Char"/>
    <w:link w:val="Heading4"/>
    <w:semiHidden/>
    <w:rsid w:val="00D81955"/>
    <w:rPr>
      <w:rFonts w:ascii="Calibri" w:eastAsia="Times New Roman" w:hAnsi="Calibri" w:cs="Times New Roman"/>
      <w:b/>
      <w:bCs/>
      <w:sz w:val="28"/>
      <w:szCs w:val="28"/>
    </w:rPr>
  </w:style>
  <w:style w:type="character" w:customStyle="1" w:styleId="Heading6Char">
    <w:name w:val="Heading 6 Char"/>
    <w:link w:val="Heading6"/>
    <w:semiHidden/>
    <w:rsid w:val="00D81955"/>
    <w:rPr>
      <w:rFonts w:ascii="Calibri" w:eastAsia="Times New Roman" w:hAnsi="Calibri" w:cs="Times New Roman"/>
      <w:b/>
      <w:bCs/>
      <w:sz w:val="22"/>
      <w:szCs w:val="22"/>
    </w:rPr>
  </w:style>
  <w:style w:type="paragraph" w:customStyle="1" w:styleId="CharCharCharCharCharCharCharCharChar">
    <w:name w:val="Char Char Char Char Char Char Char Char Char"/>
    <w:basedOn w:val="Normal"/>
    <w:uiPriority w:val="99"/>
    <w:semiHidden/>
    <w:rsid w:val="008D4125"/>
    <w:pPr>
      <w:spacing w:after="160" w:line="240" w:lineRule="exact"/>
    </w:pPr>
    <w:rPr>
      <w:rFonts w:ascii="Arial" w:hAnsi="Arial" w:cs="Arial"/>
      <w:sz w:val="22"/>
      <w:szCs w:val="22"/>
    </w:rPr>
  </w:style>
  <w:style w:type="paragraph" w:styleId="Header">
    <w:name w:val="header"/>
    <w:basedOn w:val="Normal"/>
    <w:link w:val="HeaderChar"/>
    <w:uiPriority w:val="99"/>
    <w:unhideWhenUsed/>
    <w:rsid w:val="00B36CE7"/>
    <w:pPr>
      <w:tabs>
        <w:tab w:val="center" w:pos="4680"/>
        <w:tab w:val="right" w:pos="9360"/>
      </w:tabs>
    </w:pPr>
    <w:rPr>
      <w:lang w:val="x-none" w:eastAsia="x-none"/>
    </w:rPr>
  </w:style>
  <w:style w:type="character" w:customStyle="1" w:styleId="HeaderChar">
    <w:name w:val="Header Char"/>
    <w:link w:val="Header"/>
    <w:uiPriority w:val="99"/>
    <w:rsid w:val="00B36CE7"/>
    <w:rPr>
      <w:sz w:val="24"/>
      <w:szCs w:val="28"/>
    </w:rPr>
  </w:style>
  <w:style w:type="paragraph" w:styleId="Footer">
    <w:name w:val="footer"/>
    <w:basedOn w:val="Normal"/>
    <w:link w:val="FooterChar"/>
    <w:uiPriority w:val="99"/>
    <w:unhideWhenUsed/>
    <w:rsid w:val="00B36CE7"/>
    <w:pPr>
      <w:tabs>
        <w:tab w:val="center" w:pos="4680"/>
        <w:tab w:val="right" w:pos="9360"/>
      </w:tabs>
    </w:pPr>
    <w:rPr>
      <w:lang w:val="x-none" w:eastAsia="x-none"/>
    </w:rPr>
  </w:style>
  <w:style w:type="character" w:customStyle="1" w:styleId="FooterChar">
    <w:name w:val="Footer Char"/>
    <w:link w:val="Footer"/>
    <w:uiPriority w:val="99"/>
    <w:rsid w:val="00B36CE7"/>
    <w:rPr>
      <w:sz w:val="24"/>
      <w:szCs w:val="28"/>
    </w:rPr>
  </w:style>
  <w:style w:type="paragraph" w:customStyle="1" w:styleId="Default">
    <w:name w:val="Default"/>
    <w:rsid w:val="00625C2A"/>
    <w:pPr>
      <w:autoSpaceDE w:val="0"/>
      <w:autoSpaceDN w:val="0"/>
      <w:adjustRightInd w:val="0"/>
    </w:pPr>
    <w:rPr>
      <w:color w:val="000000"/>
      <w:sz w:val="24"/>
      <w:szCs w:val="24"/>
      <w:lang w:val="vi-VN" w:eastAsia="vi-VN"/>
    </w:rPr>
  </w:style>
  <w:style w:type="table" w:styleId="TableGrid">
    <w:name w:val="Table Grid"/>
    <w:basedOn w:val="TableNormal"/>
    <w:uiPriority w:val="59"/>
    <w:rsid w:val="00FC5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Char Char Char,Footnote Text Char Char Char Char Char,Footnote Text Char Char Char Char Char Char Ch, Char Char Char Char Char Char Char,Footnote Text Char Char Char Char Char Char Ch Char Char Char,Char Char,f,single spa,fn,ft"/>
    <w:basedOn w:val="Normal"/>
    <w:link w:val="FootnoteTextChar"/>
    <w:uiPriority w:val="99"/>
    <w:unhideWhenUsed/>
    <w:qFormat/>
    <w:rsid w:val="00355C36"/>
    <w:rPr>
      <w:sz w:val="20"/>
      <w:szCs w:val="20"/>
    </w:rPr>
  </w:style>
  <w:style w:type="character" w:customStyle="1" w:styleId="FootnoteTextChar">
    <w:name w:val="Footnote Text Char"/>
    <w:aliases w:val=" Char Char, Char Char Char Char,Footnote Text Char Char Char Char Char Char,Footnote Text Char Char Char Char Char Char Ch Char, Char Char Char Char Char Char Char Char,Char Char Char,f Char,single spa Char,fn Char,ft Char"/>
    <w:basedOn w:val="DefaultParagraphFont"/>
    <w:link w:val="FootnoteText"/>
    <w:uiPriority w:val="99"/>
    <w:qFormat/>
    <w:rsid w:val="00355C36"/>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R,4"/>
    <w:link w:val="CharChar1CharCharCharChar1CharCharCharCharCharCharCharChar"/>
    <w:unhideWhenUsed/>
    <w:qFormat/>
    <w:rsid w:val="00355C36"/>
    <w:rPr>
      <w:vertAlign w:val="superscript"/>
    </w:rPr>
  </w:style>
  <w:style w:type="paragraph" w:customStyle="1" w:styleId="CharChar1CharCharCharChar">
    <w:name w:val="Char Char1 Char Char Char Char"/>
    <w:basedOn w:val="Normal"/>
    <w:rsid w:val="006B1B09"/>
    <w:pPr>
      <w:spacing w:after="160" w:line="240" w:lineRule="exact"/>
    </w:pPr>
    <w:rPr>
      <w:rFonts w:ascii="Arial" w:hAnsi="Arial" w:cs="Arial"/>
      <w:sz w:val="20"/>
      <w:szCs w:val="20"/>
    </w:rPr>
  </w:style>
  <w:style w:type="character" w:customStyle="1" w:styleId="fontstyle01">
    <w:name w:val="fontstyle01"/>
    <w:rsid w:val="006B1B09"/>
    <w:rPr>
      <w:rFonts w:ascii="TimesNewRomanPSMT" w:hAnsi="TimesNewRomanPSMT" w:hint="default"/>
      <w:b w:val="0"/>
      <w:bCs w:val="0"/>
      <w:i w:val="0"/>
      <w:iCs w:val="0"/>
      <w:color w:val="000000"/>
      <w:sz w:val="26"/>
      <w:szCs w:val="26"/>
    </w:rPr>
  </w:style>
  <w:style w:type="paragraph" w:styleId="BodyText">
    <w:name w:val="Body Text"/>
    <w:basedOn w:val="Normal"/>
    <w:link w:val="BodyTextChar"/>
    <w:rsid w:val="00441EE1"/>
    <w:pPr>
      <w:spacing w:after="120"/>
    </w:pPr>
    <w:rPr>
      <w:szCs w:val="24"/>
    </w:rPr>
  </w:style>
  <w:style w:type="character" w:customStyle="1" w:styleId="BodyTextChar">
    <w:name w:val="Body Text Char"/>
    <w:link w:val="BodyText"/>
    <w:rsid w:val="00441EE1"/>
    <w:rPr>
      <w:sz w:val="24"/>
      <w:szCs w:val="24"/>
    </w:rPr>
  </w:style>
  <w:style w:type="paragraph" w:styleId="NormalWeb">
    <w:name w:val="Normal (Web)"/>
    <w:basedOn w:val="Normal"/>
    <w:uiPriority w:val="99"/>
    <w:unhideWhenUsed/>
    <w:rsid w:val="00441EE1"/>
    <w:pPr>
      <w:spacing w:before="100" w:beforeAutospacing="1" w:after="100" w:afterAutospacing="1"/>
    </w:pPr>
    <w:rPr>
      <w:szCs w:val="24"/>
      <w:lang w:val="en-GB" w:eastAsia="en-GB"/>
    </w:rPr>
  </w:style>
  <w:style w:type="character" w:customStyle="1" w:styleId="fontstyle21">
    <w:name w:val="fontstyle21"/>
    <w:rsid w:val="00ED1F6A"/>
    <w:rPr>
      <w:rFonts w:ascii="Times New Roman" w:hAnsi="Times New Roman" w:cs="Times New Roman" w:hint="default"/>
      <w:b w:val="0"/>
      <w:bCs w:val="0"/>
      <w:i/>
      <w:iCs/>
      <w:color w:val="000000"/>
      <w:sz w:val="28"/>
      <w:szCs w:val="28"/>
    </w:rPr>
  </w:style>
  <w:style w:type="character" w:customStyle="1" w:styleId="Bodytext3">
    <w:name w:val="Body text (3)_"/>
    <w:link w:val="Bodytext30"/>
    <w:rsid w:val="00CC5879"/>
    <w:rPr>
      <w:i/>
      <w:iCs/>
      <w:sz w:val="18"/>
      <w:szCs w:val="18"/>
      <w:shd w:val="clear" w:color="auto" w:fill="FFFFFF"/>
    </w:rPr>
  </w:style>
  <w:style w:type="paragraph" w:customStyle="1" w:styleId="Bodytext30">
    <w:name w:val="Body text (3)"/>
    <w:basedOn w:val="Normal"/>
    <w:link w:val="Bodytext3"/>
    <w:rsid w:val="00CC5879"/>
    <w:pPr>
      <w:widowControl w:val="0"/>
      <w:shd w:val="clear" w:color="auto" w:fill="FFFFFF"/>
      <w:spacing w:line="224" w:lineRule="exact"/>
      <w:ind w:firstLine="320"/>
      <w:jc w:val="both"/>
    </w:pPr>
    <w:rPr>
      <w:i/>
      <w:iCs/>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176C9"/>
    <w:pPr>
      <w:spacing w:after="160" w:line="240" w:lineRule="exact"/>
      <w:ind w:firstLine="284"/>
    </w:pPr>
    <w:rPr>
      <w:sz w:val="20"/>
      <w:szCs w:val="20"/>
      <w:vertAlign w:val="superscript"/>
    </w:rPr>
  </w:style>
  <w:style w:type="character" w:customStyle="1" w:styleId="Heading2Char">
    <w:name w:val="Heading 2 Char"/>
    <w:basedOn w:val="DefaultParagraphFont"/>
    <w:link w:val="Heading2"/>
    <w:semiHidden/>
    <w:rsid w:val="00925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2546C"/>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92546C"/>
    <w:pPr>
      <w:spacing w:after="120"/>
      <w:ind w:left="283"/>
    </w:pPr>
  </w:style>
  <w:style w:type="character" w:customStyle="1" w:styleId="BodyTextIndentChar">
    <w:name w:val="Body Text Indent Char"/>
    <w:basedOn w:val="DefaultParagraphFont"/>
    <w:link w:val="BodyTextIndent"/>
    <w:uiPriority w:val="99"/>
    <w:semiHidden/>
    <w:rsid w:val="0092546C"/>
    <w:rPr>
      <w:sz w:val="24"/>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04868"/>
    <w:pPr>
      <w:spacing w:after="160" w:line="240" w:lineRule="exact"/>
    </w:pPr>
    <w:rPr>
      <w:sz w:val="20"/>
      <w:szCs w:val="20"/>
      <w:vertAlign w:val="superscript"/>
    </w:rPr>
  </w:style>
  <w:style w:type="paragraph" w:styleId="BodyTextIndent2">
    <w:name w:val="Body Text Indent 2"/>
    <w:basedOn w:val="Normal"/>
    <w:link w:val="BodyTextIndent2Char"/>
    <w:uiPriority w:val="99"/>
    <w:semiHidden/>
    <w:unhideWhenUsed/>
    <w:rsid w:val="002409A4"/>
    <w:pPr>
      <w:spacing w:after="120" w:line="480" w:lineRule="auto"/>
      <w:ind w:left="283"/>
    </w:pPr>
  </w:style>
  <w:style w:type="character" w:customStyle="1" w:styleId="BodyTextIndent2Char">
    <w:name w:val="Body Text Indent 2 Char"/>
    <w:basedOn w:val="DefaultParagraphFont"/>
    <w:link w:val="BodyTextIndent2"/>
    <w:uiPriority w:val="99"/>
    <w:semiHidden/>
    <w:rsid w:val="002409A4"/>
    <w:rPr>
      <w:sz w:val="24"/>
      <w:szCs w:val="28"/>
    </w:rPr>
  </w:style>
  <w:style w:type="character" w:styleId="Hyperlink">
    <w:name w:val="Hyperlink"/>
    <w:basedOn w:val="DefaultParagraphFont"/>
    <w:uiPriority w:val="99"/>
    <w:unhideWhenUsed/>
    <w:rsid w:val="00385FB1"/>
    <w:rPr>
      <w:color w:val="0563C1" w:themeColor="hyperlink"/>
      <w:u w:val="single"/>
    </w:rPr>
  </w:style>
  <w:style w:type="paragraph" w:styleId="ListParagraph">
    <w:name w:val="List Paragraph"/>
    <w:basedOn w:val="Normal"/>
    <w:uiPriority w:val="34"/>
    <w:qFormat/>
    <w:rsid w:val="003C7F47"/>
    <w:pPr>
      <w:ind w:left="720"/>
      <w:contextualSpacing/>
    </w:p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uiPriority w:val="99"/>
    <w:qFormat/>
    <w:rsid w:val="00AE1E7E"/>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5097">
      <w:bodyDiv w:val="1"/>
      <w:marLeft w:val="0"/>
      <w:marRight w:val="0"/>
      <w:marTop w:val="0"/>
      <w:marBottom w:val="0"/>
      <w:divBdr>
        <w:top w:val="none" w:sz="0" w:space="0" w:color="auto"/>
        <w:left w:val="none" w:sz="0" w:space="0" w:color="auto"/>
        <w:bottom w:val="none" w:sz="0" w:space="0" w:color="auto"/>
        <w:right w:val="none" w:sz="0" w:space="0" w:color="auto"/>
      </w:divBdr>
    </w:div>
    <w:div w:id="1182477921">
      <w:bodyDiv w:val="1"/>
      <w:marLeft w:val="0"/>
      <w:marRight w:val="0"/>
      <w:marTop w:val="0"/>
      <w:marBottom w:val="0"/>
      <w:divBdr>
        <w:top w:val="none" w:sz="0" w:space="0" w:color="auto"/>
        <w:left w:val="none" w:sz="0" w:space="0" w:color="auto"/>
        <w:bottom w:val="none" w:sz="0" w:space="0" w:color="auto"/>
        <w:right w:val="none" w:sz="0" w:space="0" w:color="auto"/>
      </w:divBdr>
    </w:div>
    <w:div w:id="19238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quyen-dia-phuong-2015-282380.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24E2-1F2C-4BD3-A1BE-39AF1E4E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6</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Tờ trình</vt:lpstr>
    </vt:vector>
  </TitlesOfParts>
  <Company>Đảng ủy UBND tỉnh Lâm Đồng</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subject/>
  <dc:creator>Nguyễn Anh Trung</dc:creator>
  <cp:keywords>NAT</cp:keywords>
  <cp:lastModifiedBy>ADMIN</cp:lastModifiedBy>
  <cp:revision>543</cp:revision>
  <cp:lastPrinted>2025-05-26T01:31:00Z</cp:lastPrinted>
  <dcterms:created xsi:type="dcterms:W3CDTF">2025-04-02T08:13:00Z</dcterms:created>
  <dcterms:modified xsi:type="dcterms:W3CDTF">2026-06-01T03:43:00Z</dcterms:modified>
  <cp:category>Văn phòng Đảng ủy</cp:category>
</cp:coreProperties>
</file>